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30" w:rsidRDefault="00C64330" w:rsidP="00826C64">
      <w:pPr>
        <w:pStyle w:val="a3"/>
        <w:ind w:firstLine="480"/>
        <w:jc w:val="both"/>
        <w:rPr>
          <w:rFonts w:ascii="標楷體" w:eastAsia="標楷體" w:hAnsi="標楷體"/>
          <w:sz w:val="28"/>
          <w:szCs w:val="28"/>
        </w:rPr>
      </w:pPr>
      <w:bookmarkStart w:id="0" w:name="_GoBack"/>
      <w:bookmarkEnd w:id="0"/>
      <w:r>
        <w:rPr>
          <w:rFonts w:ascii="標楷體" w:eastAsia="標楷體" w:hAnsi="標楷體" w:hint="eastAsia"/>
          <w:sz w:val="28"/>
          <w:szCs w:val="28"/>
        </w:rPr>
        <w:t>為因應考生準備考試之需求，整理選出較常使用之書目</w:t>
      </w:r>
      <w:r>
        <w:rPr>
          <w:rFonts w:ascii="標楷體" w:eastAsia="標楷體" w:hAnsi="標楷體"/>
          <w:sz w:val="28"/>
          <w:szCs w:val="28"/>
        </w:rPr>
        <w:t>(</w:t>
      </w:r>
      <w:r>
        <w:rPr>
          <w:rFonts w:ascii="標楷體" w:eastAsia="標楷體" w:hAnsi="標楷體" w:hint="eastAsia"/>
          <w:sz w:val="28"/>
          <w:szCs w:val="28"/>
        </w:rPr>
        <w:t>如下表示所</w:t>
      </w:r>
      <w:r>
        <w:rPr>
          <w:rFonts w:ascii="標楷體" w:eastAsia="標楷體" w:hAnsi="標楷體"/>
          <w:sz w:val="28"/>
          <w:szCs w:val="28"/>
        </w:rPr>
        <w:t>)</w:t>
      </w:r>
      <w:r>
        <w:rPr>
          <w:rFonts w:ascii="標楷體" w:eastAsia="標楷體" w:hAnsi="標楷體" w:hint="eastAsia"/>
          <w:sz w:val="28"/>
          <w:szCs w:val="28"/>
        </w:rPr>
        <w:t>，其餘市面販售相關之參考書目均可參考。</w:t>
      </w:r>
    </w:p>
    <w:p w:rsidR="00C64330" w:rsidRPr="0031124E" w:rsidRDefault="00C64330" w:rsidP="00D32E23">
      <w:pPr>
        <w:pStyle w:val="a3"/>
        <w:rPr>
          <w:rFonts w:ascii="標楷體" w:eastAsia="標楷體" w:hAnsi="標楷體"/>
          <w:sz w:val="28"/>
          <w:szCs w:val="28"/>
        </w:rPr>
      </w:pPr>
      <w:r>
        <w:rPr>
          <w:rFonts w:ascii="標楷體" w:eastAsia="標楷體" w:hAnsi="標楷體" w:hint="eastAsia"/>
          <w:sz w:val="28"/>
          <w:szCs w:val="28"/>
        </w:rPr>
        <w:t>一、常用之參考書目：</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51"/>
        <w:gridCol w:w="388"/>
        <w:gridCol w:w="6923"/>
      </w:tblGrid>
      <w:tr w:rsidR="00C64330" w:rsidRPr="005C4E84" w:rsidTr="00F747AB">
        <w:trPr>
          <w:trHeight w:val="330"/>
        </w:trPr>
        <w:tc>
          <w:tcPr>
            <w:tcW w:w="622" w:type="pct"/>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評鑑主題代碼</w:t>
            </w:r>
          </w:p>
        </w:tc>
        <w:tc>
          <w:tcPr>
            <w:tcW w:w="231" w:type="pct"/>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序號</w:t>
            </w:r>
          </w:p>
        </w:tc>
        <w:tc>
          <w:tcPr>
            <w:tcW w:w="4147" w:type="pct"/>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參考書目</w:t>
            </w:r>
          </w:p>
        </w:tc>
      </w:tr>
      <w:tr w:rsidR="00C64330" w:rsidRPr="005C4E84" w:rsidTr="00F747AB">
        <w:trPr>
          <w:trHeight w:val="330"/>
        </w:trPr>
        <w:tc>
          <w:tcPr>
            <w:tcW w:w="622" w:type="pct"/>
            <w:vMerge w:val="restart"/>
            <w:shd w:val="clear" w:color="000000" w:fill="FCD5B4"/>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H011</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保健食品產業概況及健康食品管理相關法規</w:t>
            </w:r>
          </w:p>
        </w:tc>
        <w:tc>
          <w:tcPr>
            <w:tcW w:w="231" w:type="pct"/>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1</w:t>
            </w:r>
          </w:p>
        </w:tc>
        <w:tc>
          <w:tcPr>
            <w:tcW w:w="4147" w:type="pct"/>
            <w:shd w:val="clear" w:color="000000" w:fill="FCD5B4"/>
            <w:noWrap/>
            <w:vAlign w:val="bottom"/>
          </w:tcPr>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政府及相關機構出版品及法規訊息</w:t>
            </w:r>
            <w:r w:rsidRPr="00D32E23">
              <w:rPr>
                <w:rFonts w:ascii="Times New Roman" w:eastAsia="標楷體" w:hAnsi="Times New Roman"/>
                <w:color w:val="000000"/>
                <w:kern w:val="0"/>
                <w:szCs w:val="24"/>
              </w:rPr>
              <w:t>:</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行政院衛生署食品藥物管理局</w:t>
            </w:r>
            <w:r w:rsidRPr="00D32E23">
              <w:rPr>
                <w:rFonts w:ascii="Times New Roman" w:eastAsia="標楷體" w:hAnsi="Times New Roman"/>
                <w:color w:val="000000"/>
                <w:kern w:val="0"/>
                <w:szCs w:val="24"/>
              </w:rPr>
              <w:t>: (</w:t>
            </w:r>
            <w:r w:rsidRPr="00D32E23">
              <w:rPr>
                <w:rFonts w:ascii="Times New Roman" w:eastAsia="標楷體" w:hAnsi="Times New Roman" w:hint="eastAsia"/>
                <w:color w:val="000000"/>
                <w:kern w:val="0"/>
                <w:szCs w:val="24"/>
              </w:rPr>
              <w:t>法規及重要資訊</w:t>
            </w:r>
            <w:r w:rsidRPr="00D32E23">
              <w:rPr>
                <w:rFonts w:ascii="Times New Roman" w:eastAsia="標楷體" w:hAnsi="Times New Roman"/>
                <w:color w:val="000000"/>
                <w:kern w:val="0"/>
                <w:szCs w:val="24"/>
              </w:rPr>
              <w:t>)</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w:t>
            </w:r>
            <w:r w:rsidRPr="00D32E23">
              <w:rPr>
                <w:rFonts w:ascii="Times New Roman" w:eastAsia="標楷體" w:hAnsi="Times New Roman" w:hint="eastAsia"/>
                <w:color w:val="000000"/>
                <w:kern w:val="0"/>
                <w:szCs w:val="24"/>
              </w:rPr>
              <w:t>食品衛生管理法與其施行細則、健康食品管理法及其施行細則、健康食品工廠良好作業規範</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(2).</w:t>
            </w:r>
            <w:r w:rsidRPr="00D32E23">
              <w:rPr>
                <w:rFonts w:ascii="Times New Roman" w:eastAsia="標楷體" w:hAnsi="Times New Roman" w:hint="eastAsia"/>
                <w:color w:val="000000"/>
                <w:kern w:val="0"/>
                <w:szCs w:val="24"/>
              </w:rPr>
              <w:t>健康食品之營養成分及含量之標示方法</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(3).</w:t>
            </w:r>
            <w:r w:rsidRPr="00D32E23">
              <w:rPr>
                <w:rFonts w:ascii="Times New Roman" w:eastAsia="標楷體" w:hAnsi="Times New Roman" w:hint="eastAsia"/>
                <w:color w:val="000000"/>
                <w:kern w:val="0"/>
                <w:szCs w:val="24"/>
              </w:rPr>
              <w:t>健康食品推動雙軌查驗登記制度</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(4).</w:t>
            </w:r>
            <w:r w:rsidRPr="00D32E23">
              <w:rPr>
                <w:rFonts w:ascii="Times New Roman" w:eastAsia="標楷體" w:hAnsi="Times New Roman" w:hint="eastAsia"/>
                <w:color w:val="000000"/>
                <w:kern w:val="0"/>
                <w:szCs w:val="24"/>
              </w:rPr>
              <w:t>第一軌及第二軌健康食品之申請許可辦法及流程圖</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(5).</w:t>
            </w:r>
            <w:r w:rsidRPr="00D32E23">
              <w:rPr>
                <w:rFonts w:ascii="Times New Roman" w:eastAsia="標楷體" w:hAnsi="Times New Roman" w:hint="eastAsia"/>
                <w:color w:val="000000"/>
                <w:kern w:val="0"/>
                <w:szCs w:val="24"/>
              </w:rPr>
              <w:t>健康食品之認證</w:t>
            </w:r>
            <w:r w:rsidRPr="00D32E23">
              <w:rPr>
                <w:rFonts w:ascii="Times New Roman" w:eastAsia="標楷體" w:hAnsi="Times New Roman"/>
                <w:color w:val="000000"/>
                <w:kern w:val="0"/>
                <w:szCs w:val="24"/>
              </w:rPr>
              <w:t>-</w:t>
            </w:r>
            <w:r w:rsidRPr="00D32E23">
              <w:rPr>
                <w:rFonts w:ascii="Times New Roman" w:eastAsia="標楷體" w:hAnsi="Times New Roman" w:hint="eastAsia"/>
                <w:color w:val="000000"/>
                <w:kern w:val="0"/>
                <w:szCs w:val="24"/>
              </w:rPr>
              <w:t>安全性評估方法及各項功效性評估方法</w:t>
            </w:r>
            <w:r w:rsidRPr="00D32E23">
              <w:rPr>
                <w:rFonts w:ascii="Times New Roman" w:eastAsia="標楷體" w:hAnsi="Times New Roman"/>
                <w:color w:val="000000"/>
                <w:kern w:val="0"/>
                <w:szCs w:val="24"/>
              </w:rPr>
              <w:t xml:space="preserve"> </w:t>
            </w:r>
          </w:p>
          <w:p w:rsidR="00C64330" w:rsidRPr="00452C87"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(6).</w:t>
            </w:r>
            <w:r w:rsidRPr="00D32E23">
              <w:rPr>
                <w:rFonts w:ascii="Times New Roman" w:eastAsia="標楷體" w:hAnsi="Times New Roman" w:hint="eastAsia"/>
                <w:color w:val="000000"/>
                <w:kern w:val="0"/>
                <w:szCs w:val="24"/>
              </w:rPr>
              <w:t>第二軌健康食品之規格標準</w:t>
            </w:r>
          </w:p>
        </w:tc>
      </w:tr>
      <w:tr w:rsidR="00C64330" w:rsidRPr="005C4E84" w:rsidTr="00F747AB">
        <w:trPr>
          <w:trHeight w:val="330"/>
        </w:trPr>
        <w:tc>
          <w:tcPr>
            <w:tcW w:w="622" w:type="pct"/>
            <w:vMerge/>
            <w:vAlign w:val="center"/>
          </w:tcPr>
          <w:p w:rsidR="00C64330" w:rsidRPr="00452C87" w:rsidRDefault="00C64330" w:rsidP="00452C87">
            <w:pPr>
              <w:widowControl/>
              <w:rPr>
                <w:rFonts w:ascii="Times New Roman" w:eastAsia="標楷體" w:hAnsi="Times New Roman"/>
                <w:color w:val="000000"/>
                <w:kern w:val="0"/>
                <w:szCs w:val="24"/>
              </w:rPr>
            </w:pPr>
          </w:p>
        </w:tc>
        <w:tc>
          <w:tcPr>
            <w:tcW w:w="231" w:type="pct"/>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2</w:t>
            </w:r>
          </w:p>
        </w:tc>
        <w:tc>
          <w:tcPr>
            <w:tcW w:w="4147" w:type="pct"/>
            <w:shd w:val="clear" w:color="000000" w:fill="FCD5B4"/>
            <w:noWrap/>
          </w:tcPr>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健康食品管理法</w:t>
            </w:r>
            <w:smartTag w:uri="urn:schemas-microsoft-com:office:smarttags" w:element="chsdate">
              <w:smartTagPr>
                <w:attr w:name="Year" w:val="1991"/>
                <w:attr w:name="Month" w:val="1"/>
                <w:attr w:name="Day" w:val="30"/>
                <w:attr w:name="IsLunarDate" w:val="False"/>
                <w:attr w:name="IsROCDate" w:val="False"/>
              </w:smartTagPr>
              <w:r w:rsidRPr="00452C87">
                <w:rPr>
                  <w:rFonts w:ascii="Times New Roman" w:eastAsia="標楷體" w:hAnsi="Times New Roman"/>
                  <w:color w:val="000000"/>
                  <w:kern w:val="0"/>
                  <w:szCs w:val="24"/>
                </w:rPr>
                <w:t>91</w:t>
              </w:r>
              <w:r w:rsidRPr="00452C87">
                <w:rPr>
                  <w:rFonts w:ascii="Times New Roman" w:eastAsia="標楷體" w:hAnsi="Times New Roman" w:hint="eastAsia"/>
                  <w:color w:val="000000"/>
                  <w:kern w:val="0"/>
                  <w:szCs w:val="24"/>
                </w:rPr>
                <w:t>年</w:t>
              </w:r>
              <w:r w:rsidRPr="00452C87">
                <w:rPr>
                  <w:rFonts w:ascii="Times New Roman" w:eastAsia="標楷體" w:hAnsi="Times New Roman"/>
                  <w:color w:val="000000"/>
                  <w:kern w:val="0"/>
                  <w:szCs w:val="24"/>
                </w:rPr>
                <w:t>1</w:t>
              </w:r>
              <w:r w:rsidRPr="00452C87">
                <w:rPr>
                  <w:rFonts w:ascii="Times New Roman" w:eastAsia="標楷體" w:hAnsi="Times New Roman" w:hint="eastAsia"/>
                  <w:color w:val="000000"/>
                  <w:kern w:val="0"/>
                  <w:szCs w:val="24"/>
                </w:rPr>
                <w:t>月</w:t>
              </w:r>
              <w:r w:rsidRPr="00452C87">
                <w:rPr>
                  <w:rFonts w:ascii="Times New Roman" w:eastAsia="標楷體" w:hAnsi="Times New Roman"/>
                  <w:color w:val="000000"/>
                  <w:kern w:val="0"/>
                  <w:szCs w:val="24"/>
                </w:rPr>
                <w:t>30</w:t>
              </w:r>
              <w:r w:rsidRPr="00452C87">
                <w:rPr>
                  <w:rFonts w:ascii="Times New Roman" w:eastAsia="標楷體" w:hAnsi="Times New Roman" w:hint="eastAsia"/>
                  <w:color w:val="000000"/>
                  <w:kern w:val="0"/>
                  <w:szCs w:val="24"/>
                </w:rPr>
                <w:t>日</w:t>
              </w:r>
            </w:smartTag>
            <w:r w:rsidRPr="00452C87">
              <w:rPr>
                <w:rFonts w:ascii="Times New Roman" w:eastAsia="標楷體" w:hAnsi="Times New Roman" w:hint="eastAsia"/>
                <w:color w:val="000000"/>
                <w:kern w:val="0"/>
                <w:szCs w:val="24"/>
              </w:rPr>
              <w:t>總統華總一義字第</w:t>
            </w:r>
            <w:r w:rsidRPr="00452C87">
              <w:rPr>
                <w:rFonts w:ascii="Times New Roman" w:eastAsia="標楷體" w:hAnsi="Times New Roman"/>
                <w:color w:val="000000"/>
                <w:kern w:val="0"/>
                <w:szCs w:val="24"/>
              </w:rPr>
              <w:t>09100017020</w:t>
            </w:r>
            <w:r w:rsidRPr="00452C87">
              <w:rPr>
                <w:rFonts w:ascii="Times New Roman" w:eastAsia="標楷體" w:hAnsi="Times New Roman" w:hint="eastAsia"/>
                <w:color w:val="000000"/>
                <w:kern w:val="0"/>
                <w:szCs w:val="24"/>
              </w:rPr>
              <w:t>號令修正版</w:t>
            </w:r>
          </w:p>
        </w:tc>
      </w:tr>
      <w:tr w:rsidR="00C64330" w:rsidRPr="005C4E84" w:rsidTr="00F747AB">
        <w:trPr>
          <w:trHeight w:val="330"/>
        </w:trPr>
        <w:tc>
          <w:tcPr>
            <w:tcW w:w="622" w:type="pct"/>
            <w:shd w:val="clear" w:color="000000" w:fill="DAEEF3"/>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H012</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食品安全性評估</w:t>
            </w:r>
          </w:p>
        </w:tc>
        <w:tc>
          <w:tcPr>
            <w:tcW w:w="231" w:type="pct"/>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3</w:t>
            </w:r>
          </w:p>
        </w:tc>
        <w:tc>
          <w:tcPr>
            <w:tcW w:w="4147" w:type="pct"/>
            <w:shd w:val="clear" w:color="000000" w:fill="DAEEF3"/>
            <w:noWrap/>
          </w:tcPr>
          <w:p w:rsidR="00C64330" w:rsidRPr="00452C87" w:rsidRDefault="00C64330" w:rsidP="00A5022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衛生署，</w:t>
            </w:r>
            <w:r w:rsidRPr="00452C87">
              <w:rPr>
                <w:rFonts w:ascii="Times New Roman" w:eastAsia="標楷體" w:hAnsi="Times New Roman"/>
                <w:color w:val="000000"/>
                <w:kern w:val="0"/>
                <w:szCs w:val="24"/>
              </w:rPr>
              <w:t xml:space="preserve"> 1999 </w:t>
            </w:r>
            <w:r w:rsidRPr="00452C87">
              <w:rPr>
                <w:rFonts w:ascii="Times New Roman" w:eastAsia="標楷體" w:hAnsi="Times New Roman" w:hint="eastAsia"/>
                <w:color w:val="000000"/>
                <w:kern w:val="0"/>
                <w:szCs w:val="24"/>
              </w:rPr>
              <w:t>。健康食品安全及功效評估方法。衛署食字第</w:t>
            </w:r>
            <w:r w:rsidRPr="00452C87">
              <w:rPr>
                <w:rFonts w:ascii="Times New Roman" w:eastAsia="標楷體" w:hAnsi="Times New Roman"/>
                <w:color w:val="000000"/>
                <w:kern w:val="0"/>
                <w:szCs w:val="24"/>
              </w:rPr>
              <w:t>88037803</w:t>
            </w:r>
            <w:r w:rsidRPr="00452C87">
              <w:rPr>
                <w:rFonts w:ascii="Times New Roman" w:eastAsia="標楷體" w:hAnsi="Times New Roman" w:hint="eastAsia"/>
                <w:color w:val="000000"/>
                <w:kern w:val="0"/>
                <w:szCs w:val="24"/>
              </w:rPr>
              <w:t>號。台北。</w:t>
            </w:r>
          </w:p>
        </w:tc>
      </w:tr>
      <w:tr w:rsidR="00C64330" w:rsidRPr="005C4E84" w:rsidTr="00F747AB">
        <w:trPr>
          <w:trHeight w:val="330"/>
        </w:trPr>
        <w:tc>
          <w:tcPr>
            <w:tcW w:w="622" w:type="pct"/>
            <w:vMerge w:val="restart"/>
            <w:shd w:val="clear" w:color="000000" w:fill="E4DFEC"/>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H013</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營養學</w:t>
            </w:r>
          </w:p>
        </w:tc>
        <w:tc>
          <w:tcPr>
            <w:tcW w:w="231" w:type="pct"/>
            <w:shd w:val="clear" w:color="000000" w:fill="E4DFE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4</w:t>
            </w:r>
          </w:p>
        </w:tc>
        <w:tc>
          <w:tcPr>
            <w:tcW w:w="4147" w:type="pct"/>
            <w:shd w:val="clear" w:color="000000" w:fill="E4DFE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蕭寧馨</w:t>
            </w:r>
            <w:r w:rsidRPr="00452C87">
              <w:rPr>
                <w:rFonts w:ascii="Times New Roman" w:eastAsia="標楷體" w:hAnsi="Times New Roman"/>
                <w:color w:val="000000"/>
                <w:kern w:val="0"/>
                <w:szCs w:val="24"/>
              </w:rPr>
              <w:t>(2011)</w:t>
            </w:r>
            <w:r w:rsidRPr="00452C87">
              <w:rPr>
                <w:rFonts w:ascii="Times New Roman" w:eastAsia="標楷體" w:hAnsi="Times New Roman" w:hint="eastAsia"/>
                <w:color w:val="000000"/>
                <w:kern w:val="0"/>
                <w:szCs w:val="24"/>
              </w:rPr>
              <w:t>，透視營養學。</w:t>
            </w:r>
          </w:p>
        </w:tc>
      </w:tr>
      <w:tr w:rsidR="00C64330" w:rsidRPr="005C4E84" w:rsidTr="00F747AB">
        <w:trPr>
          <w:trHeight w:val="330"/>
        </w:trPr>
        <w:tc>
          <w:tcPr>
            <w:tcW w:w="622" w:type="pct"/>
            <w:vMerge/>
            <w:vAlign w:val="center"/>
          </w:tcPr>
          <w:p w:rsidR="00C64330" w:rsidRPr="00452C87" w:rsidRDefault="00C64330" w:rsidP="00452C87">
            <w:pPr>
              <w:widowControl/>
              <w:rPr>
                <w:rFonts w:ascii="Times New Roman" w:eastAsia="標楷體" w:hAnsi="Times New Roman"/>
                <w:color w:val="000000"/>
                <w:kern w:val="0"/>
                <w:szCs w:val="24"/>
              </w:rPr>
            </w:pPr>
          </w:p>
        </w:tc>
        <w:tc>
          <w:tcPr>
            <w:tcW w:w="231" w:type="pct"/>
            <w:shd w:val="clear" w:color="000000" w:fill="E4DFE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5</w:t>
            </w:r>
          </w:p>
        </w:tc>
        <w:tc>
          <w:tcPr>
            <w:tcW w:w="4147" w:type="pct"/>
            <w:shd w:val="clear" w:color="000000" w:fill="E4DFE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黃伯超、游素玲</w:t>
            </w:r>
            <w:r w:rsidRPr="00452C87">
              <w:rPr>
                <w:rFonts w:ascii="Times New Roman" w:eastAsia="標楷體" w:hAnsi="Times New Roman"/>
                <w:color w:val="000000"/>
                <w:kern w:val="0"/>
                <w:szCs w:val="24"/>
              </w:rPr>
              <w:t>(2010)</w:t>
            </w:r>
            <w:r w:rsidRPr="00452C87">
              <w:rPr>
                <w:rFonts w:ascii="Times New Roman" w:eastAsia="標楷體" w:hAnsi="Times New Roman" w:hint="eastAsia"/>
                <w:color w:val="000000"/>
                <w:kern w:val="0"/>
                <w:szCs w:val="24"/>
              </w:rPr>
              <w:t>，營養學精要。</w:t>
            </w:r>
          </w:p>
        </w:tc>
      </w:tr>
      <w:tr w:rsidR="00C64330" w:rsidRPr="005C4E84" w:rsidTr="00F747AB">
        <w:trPr>
          <w:trHeight w:val="660"/>
        </w:trPr>
        <w:tc>
          <w:tcPr>
            <w:tcW w:w="622" w:type="pct"/>
            <w:shd w:val="clear" w:color="000000" w:fill="E6B8B7"/>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H021</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食品衛生管理相關法規</w:t>
            </w:r>
          </w:p>
        </w:tc>
        <w:tc>
          <w:tcPr>
            <w:tcW w:w="231" w:type="pct"/>
            <w:shd w:val="clear" w:color="000000" w:fill="E6B8B7"/>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6</w:t>
            </w:r>
          </w:p>
        </w:tc>
        <w:tc>
          <w:tcPr>
            <w:tcW w:w="4147" w:type="pct"/>
            <w:shd w:val="clear" w:color="000000" w:fill="E6B8B7"/>
            <w:noWrap/>
          </w:tcPr>
          <w:p w:rsidR="00C64330" w:rsidRPr="00452C87" w:rsidRDefault="00C64330" w:rsidP="00E02958">
            <w:pPr>
              <w:widowControl/>
              <w:rPr>
                <w:rFonts w:ascii="Times New Roman" w:eastAsia="標楷體" w:hAnsi="Times New Roman"/>
                <w:color w:val="000000"/>
                <w:kern w:val="0"/>
                <w:szCs w:val="24"/>
              </w:rPr>
            </w:pPr>
            <w:smartTag w:uri="urn:schemas-microsoft-com:office:smarttags" w:element="PersonName">
              <w:r w:rsidRPr="00452C87">
                <w:rPr>
                  <w:rFonts w:ascii="Times New Roman" w:eastAsia="標楷體" w:hAnsi="Times New Roman" w:hint="eastAsia"/>
                  <w:color w:val="000000"/>
                  <w:kern w:val="0"/>
                  <w:szCs w:val="24"/>
                </w:rPr>
                <w:t>陳</w:t>
              </w:r>
            </w:smartTag>
            <w:r w:rsidRPr="00452C87">
              <w:rPr>
                <w:rFonts w:ascii="Times New Roman" w:eastAsia="標楷體" w:hAnsi="Times New Roman" w:hint="eastAsia"/>
                <w:color w:val="000000"/>
                <w:kern w:val="0"/>
                <w:szCs w:val="24"/>
              </w:rPr>
              <w:t>建元、黃中宜</w:t>
            </w:r>
            <w:r w:rsidRPr="00452C87">
              <w:rPr>
                <w:rFonts w:ascii="Times New Roman" w:eastAsia="標楷體" w:hAnsi="Times New Roman"/>
                <w:color w:val="000000"/>
                <w:kern w:val="0"/>
                <w:szCs w:val="24"/>
              </w:rPr>
              <w:t xml:space="preserve"> </w:t>
            </w:r>
            <w:r w:rsidRPr="00452C87">
              <w:rPr>
                <w:rFonts w:ascii="Times New Roman" w:eastAsia="標楷體" w:hAnsi="Times New Roman" w:hint="eastAsia"/>
                <w:color w:val="000000"/>
                <w:kern w:val="0"/>
                <w:szCs w:val="24"/>
              </w:rPr>
              <w:t>修編</w:t>
            </w:r>
            <w:r w:rsidRPr="00452C87">
              <w:rPr>
                <w:rFonts w:ascii="Times New Roman" w:eastAsia="標楷體" w:hAnsi="Times New Roman"/>
                <w:color w:val="000000"/>
                <w:kern w:val="0"/>
                <w:szCs w:val="24"/>
              </w:rPr>
              <w:t xml:space="preserve"> </w:t>
            </w:r>
            <w:r w:rsidRPr="00452C87">
              <w:rPr>
                <w:rFonts w:ascii="Times New Roman" w:eastAsia="標楷體" w:hAnsi="Times New Roman" w:hint="eastAsia"/>
                <w:color w:val="000000"/>
                <w:kern w:val="0"/>
                <w:szCs w:val="24"/>
              </w:rPr>
              <w:t>曾浩洋、林麗悅等合著</w:t>
            </w:r>
            <w:r w:rsidRPr="00452C87">
              <w:rPr>
                <w:rFonts w:ascii="Times New Roman" w:eastAsia="標楷體" w:hAnsi="Times New Roman"/>
                <w:color w:val="000000"/>
                <w:kern w:val="0"/>
                <w:szCs w:val="24"/>
              </w:rPr>
              <w:t>(2011)</w:t>
            </w:r>
            <w:r w:rsidRPr="00452C87">
              <w:rPr>
                <w:rFonts w:ascii="Times New Roman" w:eastAsia="標楷體" w:hAnsi="Times New Roman" w:hint="eastAsia"/>
                <w:color w:val="000000"/>
                <w:kern w:val="0"/>
                <w:szCs w:val="24"/>
              </w:rPr>
              <w:t>，食品衛生與安全。</w:t>
            </w:r>
          </w:p>
        </w:tc>
      </w:tr>
      <w:tr w:rsidR="00C64330" w:rsidRPr="005C4E84" w:rsidTr="00F747AB">
        <w:trPr>
          <w:trHeight w:val="330"/>
        </w:trPr>
        <w:tc>
          <w:tcPr>
            <w:tcW w:w="622" w:type="pct"/>
            <w:vMerge w:val="restart"/>
            <w:shd w:val="clear" w:color="000000" w:fill="D8E4BC"/>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H022</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食品化學</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含食品分析</w:t>
            </w:r>
            <w:r w:rsidRPr="00452C87">
              <w:rPr>
                <w:rFonts w:ascii="Times New Roman" w:eastAsia="標楷體" w:hAnsi="Times New Roman"/>
                <w:color w:val="000000"/>
                <w:kern w:val="0"/>
                <w:szCs w:val="24"/>
              </w:rPr>
              <w:t>)</w:t>
            </w:r>
          </w:p>
        </w:tc>
        <w:tc>
          <w:tcPr>
            <w:tcW w:w="231" w:type="pct"/>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7</w:t>
            </w:r>
          </w:p>
        </w:tc>
        <w:tc>
          <w:tcPr>
            <w:tcW w:w="4147" w:type="pct"/>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張為憲</w:t>
            </w:r>
            <w:r w:rsidRPr="00452C87">
              <w:rPr>
                <w:rFonts w:ascii="Times New Roman" w:eastAsia="標楷體" w:hAnsi="Times New Roman"/>
                <w:color w:val="000000"/>
                <w:kern w:val="0"/>
                <w:szCs w:val="24"/>
              </w:rPr>
              <w:t>(2008)</w:t>
            </w:r>
            <w:r w:rsidRPr="00452C87">
              <w:rPr>
                <w:rFonts w:ascii="Times New Roman" w:eastAsia="標楷體" w:hAnsi="Times New Roman" w:hint="eastAsia"/>
                <w:color w:val="000000"/>
                <w:kern w:val="0"/>
                <w:szCs w:val="24"/>
              </w:rPr>
              <w:t>，食品化學。</w:t>
            </w:r>
          </w:p>
        </w:tc>
      </w:tr>
      <w:tr w:rsidR="00C64330" w:rsidRPr="005C4E84" w:rsidTr="00F747AB">
        <w:trPr>
          <w:trHeight w:val="330"/>
        </w:trPr>
        <w:tc>
          <w:tcPr>
            <w:tcW w:w="622" w:type="pct"/>
            <w:vMerge/>
            <w:vAlign w:val="center"/>
          </w:tcPr>
          <w:p w:rsidR="00C64330" w:rsidRPr="00452C87" w:rsidRDefault="00C64330" w:rsidP="00452C87">
            <w:pPr>
              <w:widowControl/>
              <w:rPr>
                <w:rFonts w:ascii="Times New Roman" w:eastAsia="標楷體" w:hAnsi="Times New Roman"/>
                <w:color w:val="000000"/>
                <w:kern w:val="0"/>
                <w:szCs w:val="24"/>
              </w:rPr>
            </w:pPr>
          </w:p>
        </w:tc>
        <w:tc>
          <w:tcPr>
            <w:tcW w:w="231" w:type="pct"/>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8</w:t>
            </w:r>
          </w:p>
        </w:tc>
        <w:tc>
          <w:tcPr>
            <w:tcW w:w="4147" w:type="pct"/>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李敏雄</w:t>
            </w:r>
            <w:r w:rsidRPr="00452C87">
              <w:rPr>
                <w:rFonts w:ascii="Times New Roman" w:eastAsia="標楷體" w:hAnsi="Times New Roman"/>
                <w:color w:val="000000"/>
                <w:kern w:val="0"/>
                <w:szCs w:val="24"/>
              </w:rPr>
              <w:t>(2004)</w:t>
            </w:r>
            <w:r w:rsidRPr="00452C87">
              <w:rPr>
                <w:rFonts w:ascii="Times New Roman" w:eastAsia="標楷體" w:hAnsi="Times New Roman" w:hint="eastAsia"/>
                <w:color w:val="000000"/>
                <w:kern w:val="0"/>
                <w:szCs w:val="24"/>
              </w:rPr>
              <w:t>，食品分析與檢驗。</w:t>
            </w:r>
          </w:p>
        </w:tc>
      </w:tr>
      <w:tr w:rsidR="00C64330" w:rsidRPr="005C4E84" w:rsidTr="00F747AB">
        <w:trPr>
          <w:trHeight w:val="330"/>
        </w:trPr>
        <w:tc>
          <w:tcPr>
            <w:tcW w:w="622" w:type="pct"/>
            <w:shd w:val="clear" w:color="000000" w:fill="B7DEE8"/>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 xml:space="preserve">H023 </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食品加工</w:t>
            </w:r>
          </w:p>
        </w:tc>
        <w:tc>
          <w:tcPr>
            <w:tcW w:w="231" w:type="pct"/>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9</w:t>
            </w:r>
          </w:p>
        </w:tc>
        <w:tc>
          <w:tcPr>
            <w:tcW w:w="4147" w:type="pct"/>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林淑瑗等著</w:t>
            </w:r>
            <w:r w:rsidRPr="00452C87">
              <w:rPr>
                <w:rFonts w:ascii="Times New Roman" w:eastAsia="標楷體" w:hAnsi="Times New Roman"/>
                <w:color w:val="000000"/>
                <w:kern w:val="0"/>
                <w:szCs w:val="24"/>
              </w:rPr>
              <w:t>(2012)</w:t>
            </w:r>
            <w:r w:rsidRPr="00452C87">
              <w:rPr>
                <w:rFonts w:ascii="Times New Roman" w:eastAsia="標楷體" w:hAnsi="Times New Roman" w:hint="eastAsia"/>
                <w:color w:val="000000"/>
                <w:kern w:val="0"/>
                <w:szCs w:val="24"/>
              </w:rPr>
              <w:t>，實用食品加工學</w:t>
            </w:r>
            <w:r w:rsidRPr="00452C87">
              <w:rPr>
                <w:rFonts w:ascii="Times New Roman" w:eastAsia="標楷體" w:hAnsi="Times New Roman"/>
                <w:color w:val="000000"/>
                <w:kern w:val="0"/>
                <w:szCs w:val="24"/>
              </w:rPr>
              <w:t xml:space="preserve"> (</w:t>
            </w:r>
            <w:r w:rsidRPr="00452C87">
              <w:rPr>
                <w:rFonts w:ascii="Times New Roman" w:eastAsia="標楷體" w:hAnsi="Times New Roman" w:hint="eastAsia"/>
                <w:color w:val="000000"/>
                <w:kern w:val="0"/>
                <w:szCs w:val="24"/>
              </w:rPr>
              <w:t>三版</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bl>
    <w:p w:rsidR="00C64330" w:rsidRPr="00E24F46" w:rsidRDefault="00C64330" w:rsidP="00D32E23">
      <w:pPr>
        <w:pStyle w:val="a3"/>
        <w:rPr>
          <w:rFonts w:ascii="標楷體" w:eastAsia="標楷體" w:hAnsi="標楷體"/>
          <w:sz w:val="28"/>
          <w:szCs w:val="28"/>
        </w:rPr>
      </w:pPr>
      <w:r>
        <w:rPr>
          <w:rFonts w:ascii="標楷體" w:eastAsia="標楷體" w:hAnsi="標楷體" w:hint="eastAsia"/>
          <w:sz w:val="28"/>
          <w:szCs w:val="28"/>
        </w:rPr>
        <w:t>二、</w:t>
      </w:r>
      <w:r w:rsidRPr="00E24F46">
        <w:rPr>
          <w:rFonts w:ascii="標楷體" w:eastAsia="標楷體" w:hAnsi="標楷體" w:hint="eastAsia"/>
          <w:sz w:val="28"/>
          <w:szCs w:val="28"/>
        </w:rPr>
        <w:t>其它</w:t>
      </w:r>
      <w:r>
        <w:rPr>
          <w:rFonts w:ascii="標楷體" w:eastAsia="標楷體" w:hAnsi="標楷體" w:hint="eastAsia"/>
          <w:sz w:val="28"/>
          <w:szCs w:val="28"/>
        </w:rPr>
        <w:t>之參考書目：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62"/>
        <w:gridCol w:w="426"/>
        <w:gridCol w:w="6774"/>
      </w:tblGrid>
      <w:tr w:rsidR="00C64330" w:rsidRPr="005C4E84" w:rsidTr="00D32E23">
        <w:trPr>
          <w:trHeight w:val="330"/>
        </w:trPr>
        <w:tc>
          <w:tcPr>
            <w:tcW w:w="1162" w:type="dxa"/>
            <w:shd w:val="clear" w:color="000000" w:fill="FDE9D9"/>
          </w:tcPr>
          <w:p w:rsidR="00C64330" w:rsidRPr="00D32E23"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評鑑主題代碼</w:t>
            </w:r>
          </w:p>
        </w:tc>
        <w:tc>
          <w:tcPr>
            <w:tcW w:w="426" w:type="dxa"/>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序號</w:t>
            </w:r>
          </w:p>
        </w:tc>
        <w:tc>
          <w:tcPr>
            <w:tcW w:w="6774" w:type="dxa"/>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參考書目</w:t>
            </w:r>
          </w:p>
        </w:tc>
      </w:tr>
      <w:tr w:rsidR="00C64330" w:rsidRPr="005C4E84" w:rsidTr="00D32E23">
        <w:trPr>
          <w:trHeight w:val="330"/>
        </w:trPr>
        <w:tc>
          <w:tcPr>
            <w:tcW w:w="1162" w:type="dxa"/>
            <w:vMerge w:val="restart"/>
            <w:shd w:val="clear" w:color="000000" w:fill="FCD5B4"/>
          </w:tcPr>
          <w:p w:rsidR="00C64330" w:rsidRPr="00D32E23"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lastRenderedPageBreak/>
              <w:t>H011</w:t>
            </w:r>
          </w:p>
          <w:p w:rsidR="00C64330" w:rsidRPr="00D32E23"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保健食品產業概況及健康食品管理相關法規</w:t>
            </w:r>
          </w:p>
        </w:tc>
        <w:tc>
          <w:tcPr>
            <w:tcW w:w="426" w:type="dxa"/>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1</w:t>
            </w:r>
          </w:p>
        </w:tc>
        <w:tc>
          <w:tcPr>
            <w:tcW w:w="6774" w:type="dxa"/>
            <w:shd w:val="clear" w:color="000000" w:fill="FCD5B4"/>
            <w:noWrap/>
            <w:vAlign w:val="bottom"/>
          </w:tcPr>
          <w:p w:rsidR="00C64330" w:rsidRPr="00452C87" w:rsidRDefault="00C64330" w:rsidP="00D0016F">
            <w:pPr>
              <w:widowControl/>
              <w:rPr>
                <w:rFonts w:ascii="Times New Roman" w:eastAsia="標楷體" w:hAnsi="Times New Roman"/>
                <w:color w:val="000000"/>
                <w:kern w:val="0"/>
                <w:szCs w:val="24"/>
              </w:rPr>
            </w:pPr>
            <w:smartTag w:uri="urn:schemas-microsoft-com:office:smarttags" w:element="PersonName">
              <w:r w:rsidRPr="00452C87">
                <w:rPr>
                  <w:rFonts w:ascii="Times New Roman" w:eastAsia="標楷體" w:hAnsi="Times New Roman" w:hint="eastAsia"/>
                  <w:color w:val="000000"/>
                  <w:kern w:val="0"/>
                  <w:szCs w:val="24"/>
                </w:rPr>
                <w:t>陳</w:t>
              </w:r>
            </w:smartTag>
            <w:r w:rsidRPr="00452C87">
              <w:rPr>
                <w:rFonts w:ascii="Times New Roman" w:eastAsia="標楷體" w:hAnsi="Times New Roman" w:hint="eastAsia"/>
                <w:color w:val="000000"/>
                <w:kern w:val="0"/>
                <w:szCs w:val="24"/>
              </w:rPr>
              <w:t>淑芳、簡相堂，全球保健食品之開發現況與趨勢，食品工業研究所，</w:t>
            </w:r>
            <w:r w:rsidRPr="00452C87">
              <w:rPr>
                <w:rFonts w:ascii="Times New Roman" w:eastAsia="標楷體" w:hAnsi="Times New Roman"/>
                <w:color w:val="000000"/>
                <w:kern w:val="0"/>
                <w:szCs w:val="24"/>
              </w:rPr>
              <w:t>2009</w:t>
            </w:r>
          </w:p>
        </w:tc>
      </w:tr>
      <w:tr w:rsidR="00C64330" w:rsidRPr="005C4E84" w:rsidTr="00D32E23">
        <w:trPr>
          <w:trHeight w:val="330"/>
        </w:trPr>
        <w:tc>
          <w:tcPr>
            <w:tcW w:w="1162" w:type="dxa"/>
            <w:vMerge/>
            <w:shd w:val="clear" w:color="000000" w:fill="FCD5B4"/>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2</w:t>
            </w:r>
          </w:p>
        </w:tc>
        <w:tc>
          <w:tcPr>
            <w:tcW w:w="6774" w:type="dxa"/>
            <w:shd w:val="clear" w:color="000000" w:fill="FCD5B4"/>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健康食品管理法施行細則</w:t>
            </w:r>
            <w:smartTag w:uri="urn:schemas-microsoft-com:office:smarttags" w:element="chsdate">
              <w:smartTagPr>
                <w:attr w:name="Year" w:val="1988"/>
                <w:attr w:name="Month" w:val="8"/>
                <w:attr w:name="Day" w:val="1"/>
                <w:attr w:name="IsLunarDate" w:val="False"/>
                <w:attr w:name="IsROCDate" w:val="False"/>
              </w:smartTagPr>
              <w:r w:rsidRPr="00452C87">
                <w:rPr>
                  <w:rFonts w:ascii="Times New Roman" w:eastAsia="標楷體" w:hAnsi="Times New Roman"/>
                  <w:color w:val="000000"/>
                  <w:kern w:val="0"/>
                  <w:szCs w:val="24"/>
                </w:rPr>
                <w:t>88</w:t>
              </w:r>
              <w:r w:rsidRPr="00452C87">
                <w:rPr>
                  <w:rFonts w:ascii="Times New Roman" w:eastAsia="標楷體" w:hAnsi="Times New Roman" w:hint="eastAsia"/>
                  <w:color w:val="000000"/>
                  <w:kern w:val="0"/>
                  <w:szCs w:val="24"/>
                </w:rPr>
                <w:t>年</w:t>
              </w:r>
              <w:r w:rsidRPr="00452C87">
                <w:rPr>
                  <w:rFonts w:ascii="Times New Roman" w:eastAsia="標楷體" w:hAnsi="Times New Roman"/>
                  <w:color w:val="000000"/>
                  <w:kern w:val="0"/>
                  <w:szCs w:val="24"/>
                </w:rPr>
                <w:t>8</w:t>
              </w:r>
              <w:r w:rsidRPr="00452C87">
                <w:rPr>
                  <w:rFonts w:ascii="Times New Roman" w:eastAsia="標楷體" w:hAnsi="Times New Roman" w:hint="eastAsia"/>
                  <w:color w:val="000000"/>
                  <w:kern w:val="0"/>
                  <w:szCs w:val="24"/>
                </w:rPr>
                <w:t>月</w:t>
              </w:r>
              <w:r w:rsidRPr="00452C87">
                <w:rPr>
                  <w:rFonts w:ascii="Times New Roman" w:eastAsia="標楷體" w:hAnsi="Times New Roman"/>
                  <w:color w:val="000000"/>
                  <w:kern w:val="0"/>
                  <w:szCs w:val="24"/>
                </w:rPr>
                <w:t>1</w:t>
              </w:r>
              <w:r w:rsidRPr="00452C87">
                <w:rPr>
                  <w:rFonts w:ascii="Times New Roman" w:eastAsia="標楷體" w:hAnsi="Times New Roman" w:hint="eastAsia"/>
                  <w:color w:val="000000"/>
                  <w:kern w:val="0"/>
                  <w:szCs w:val="24"/>
                </w:rPr>
                <w:t>日</w:t>
              </w:r>
            </w:smartTag>
            <w:r w:rsidRPr="00452C87">
              <w:rPr>
                <w:rFonts w:ascii="Times New Roman" w:eastAsia="標楷體" w:hAnsi="Times New Roman" w:hint="eastAsia"/>
                <w:color w:val="000000"/>
                <w:kern w:val="0"/>
                <w:szCs w:val="24"/>
              </w:rPr>
              <w:t>衛署食字第</w:t>
            </w:r>
            <w:r w:rsidRPr="00452C87">
              <w:rPr>
                <w:rFonts w:ascii="Times New Roman" w:eastAsia="標楷體" w:hAnsi="Times New Roman"/>
                <w:color w:val="000000"/>
                <w:kern w:val="0"/>
                <w:szCs w:val="24"/>
              </w:rPr>
              <w:t>88047382</w:t>
            </w:r>
            <w:r w:rsidRPr="00452C87">
              <w:rPr>
                <w:rFonts w:ascii="Times New Roman" w:eastAsia="標楷體" w:hAnsi="Times New Roman" w:hint="eastAsia"/>
                <w:color w:val="000000"/>
                <w:kern w:val="0"/>
                <w:szCs w:val="24"/>
              </w:rPr>
              <w:t>號</w:t>
            </w:r>
          </w:p>
        </w:tc>
      </w:tr>
      <w:tr w:rsidR="00C64330" w:rsidRPr="005C4E84" w:rsidTr="00D32E23">
        <w:trPr>
          <w:trHeight w:val="330"/>
        </w:trPr>
        <w:tc>
          <w:tcPr>
            <w:tcW w:w="1162" w:type="dxa"/>
            <w:vMerge/>
            <w:shd w:val="clear" w:color="000000" w:fill="FCD5B4"/>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3</w:t>
            </w:r>
          </w:p>
        </w:tc>
        <w:tc>
          <w:tcPr>
            <w:tcW w:w="6774" w:type="dxa"/>
            <w:shd w:val="clear" w:color="000000" w:fill="FCD5B4"/>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曾馨誼，</w:t>
            </w:r>
            <w:r w:rsidRPr="00452C87">
              <w:rPr>
                <w:rFonts w:ascii="Times New Roman" w:eastAsia="標楷體" w:hAnsi="Times New Roman"/>
                <w:color w:val="000000"/>
                <w:kern w:val="0"/>
                <w:szCs w:val="24"/>
              </w:rPr>
              <w:t>99</w:t>
            </w:r>
            <w:r w:rsidRPr="00452C87">
              <w:rPr>
                <w:rFonts w:ascii="Times New Roman" w:eastAsia="標楷體" w:hAnsi="Times New Roman" w:hint="eastAsia"/>
                <w:color w:val="000000"/>
                <w:kern w:val="0"/>
                <w:szCs w:val="24"/>
              </w:rPr>
              <w:t>年及</w:t>
            </w:r>
            <w:r w:rsidRPr="00452C87">
              <w:rPr>
                <w:rFonts w:ascii="Times New Roman" w:eastAsia="標楷體" w:hAnsi="Times New Roman"/>
                <w:color w:val="000000"/>
                <w:kern w:val="0"/>
                <w:szCs w:val="24"/>
              </w:rPr>
              <w:t>100</w:t>
            </w:r>
            <w:r w:rsidRPr="00452C87">
              <w:rPr>
                <w:rFonts w:ascii="Times New Roman" w:eastAsia="標楷體" w:hAnsi="Times New Roman" w:hint="eastAsia"/>
                <w:color w:val="000000"/>
                <w:kern w:val="0"/>
                <w:szCs w:val="24"/>
              </w:rPr>
              <w:t>年國內保健食品產值及產業現況調查，中華穀類食品工業技術研究所。</w:t>
            </w:r>
          </w:p>
        </w:tc>
      </w:tr>
      <w:tr w:rsidR="00C64330" w:rsidRPr="005C4E84" w:rsidTr="00D32E23">
        <w:trPr>
          <w:trHeight w:val="330"/>
        </w:trPr>
        <w:tc>
          <w:tcPr>
            <w:tcW w:w="1162" w:type="dxa"/>
            <w:vMerge w:val="restart"/>
            <w:shd w:val="clear" w:color="000000" w:fill="DAEEF3"/>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H012</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食品安全性評估</w:t>
            </w: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4</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行政院衛生署：藥品非臨床試驗安全性規範，</w:t>
            </w:r>
            <w:r w:rsidRPr="00452C87">
              <w:rPr>
                <w:rFonts w:ascii="Times New Roman" w:eastAsia="標楷體" w:hAnsi="Times New Roman"/>
                <w:color w:val="000000"/>
                <w:kern w:val="0"/>
                <w:szCs w:val="24"/>
              </w:rPr>
              <w:t>2000</w:t>
            </w:r>
            <w:r w:rsidRPr="00452C87">
              <w:rPr>
                <w:rFonts w:ascii="Times New Roman" w:eastAsia="標楷體" w:hAnsi="Times New Roman" w:hint="eastAsia"/>
                <w:color w:val="000000"/>
                <w:kern w:val="0"/>
                <w:szCs w:val="24"/>
              </w:rPr>
              <w:t>。</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5</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#407(1995): Repeated Dose 28-day Oral Toxicity Study in Rodents</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6</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#408(1995): Repeated Dose 90-day Oral Toxicity Study in Rodents</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7</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#471(1997); Bacterial Reverse Mutation Test</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8</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#473(1997); In Vitro Mammalian Chromosome Aberration Test.</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9</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#474(1997); Mammalian Erythrocyte Micronucleus Test.</w:t>
            </w:r>
          </w:p>
        </w:tc>
      </w:tr>
      <w:tr w:rsidR="00C64330" w:rsidRPr="005C4E84" w:rsidTr="00D32E23">
        <w:trPr>
          <w:trHeight w:val="330"/>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10</w:t>
            </w:r>
          </w:p>
        </w:tc>
        <w:tc>
          <w:tcPr>
            <w:tcW w:w="6774" w:type="dxa"/>
            <w:shd w:val="clear" w:color="000000" w:fill="DAEEF3"/>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劉麗雲</w:t>
            </w:r>
            <w:r w:rsidRPr="00452C87">
              <w:rPr>
                <w:rFonts w:ascii="Times New Roman" w:eastAsia="標楷體" w:hAnsi="Times New Roman"/>
                <w:color w:val="000000"/>
                <w:kern w:val="0"/>
                <w:szCs w:val="24"/>
              </w:rPr>
              <w:t>(2011)</w:t>
            </w:r>
            <w:r w:rsidRPr="00452C87">
              <w:rPr>
                <w:rFonts w:ascii="Times New Roman" w:eastAsia="標楷體" w:hAnsi="Times New Roman" w:hint="eastAsia"/>
                <w:color w:val="000000"/>
                <w:kern w:val="0"/>
                <w:szCs w:val="24"/>
              </w:rPr>
              <w:t>食品衛生與安全。</w:t>
            </w:r>
          </w:p>
        </w:tc>
      </w:tr>
      <w:tr w:rsidR="00C64330" w:rsidRPr="005C4E84" w:rsidTr="00D32E23">
        <w:trPr>
          <w:trHeight w:val="330"/>
        </w:trPr>
        <w:tc>
          <w:tcPr>
            <w:tcW w:w="1162" w:type="dxa"/>
            <w:shd w:val="clear" w:color="000000" w:fill="E4DFEC"/>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H013</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營養學</w:t>
            </w:r>
          </w:p>
        </w:tc>
        <w:tc>
          <w:tcPr>
            <w:tcW w:w="426" w:type="dxa"/>
            <w:shd w:val="clear" w:color="000000" w:fill="E4DFE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11</w:t>
            </w:r>
          </w:p>
        </w:tc>
        <w:tc>
          <w:tcPr>
            <w:tcW w:w="6774" w:type="dxa"/>
            <w:shd w:val="clear" w:color="000000" w:fill="E4DFEC"/>
            <w:noWrap/>
          </w:tcPr>
          <w:p w:rsidR="00C64330" w:rsidRPr="00452C87" w:rsidRDefault="00C64330" w:rsidP="00D2046A">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Ellie Whitney, Sharon Rady Rolfes, Understanding Nutrition (12th), Thomson.</w:t>
            </w:r>
          </w:p>
        </w:tc>
      </w:tr>
      <w:tr w:rsidR="00C64330" w:rsidRPr="005C4E84" w:rsidTr="00D32E23">
        <w:trPr>
          <w:trHeight w:val="330"/>
        </w:trPr>
        <w:tc>
          <w:tcPr>
            <w:tcW w:w="1162" w:type="dxa"/>
            <w:vMerge w:val="restart"/>
            <w:shd w:val="clear" w:color="000000" w:fill="D8E4BC"/>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H022</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食品化學</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含食品分析</w:t>
            </w:r>
            <w:r w:rsidRPr="00452C87">
              <w:rPr>
                <w:rFonts w:ascii="Times New Roman" w:eastAsia="標楷體" w:hAnsi="Times New Roman"/>
                <w:color w:val="000000"/>
                <w:kern w:val="0"/>
                <w:szCs w:val="24"/>
              </w:rPr>
              <w:t>)</w:t>
            </w:r>
          </w:p>
        </w:tc>
        <w:tc>
          <w:tcPr>
            <w:tcW w:w="426" w:type="dxa"/>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12</w:t>
            </w:r>
          </w:p>
        </w:tc>
        <w:tc>
          <w:tcPr>
            <w:tcW w:w="6774" w:type="dxa"/>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顏國欽總校閱</w:t>
            </w:r>
            <w:r w:rsidRPr="00452C87">
              <w:rPr>
                <w:rFonts w:ascii="Times New Roman" w:eastAsia="標楷體" w:hAnsi="Times New Roman"/>
                <w:color w:val="000000"/>
                <w:kern w:val="0"/>
                <w:szCs w:val="24"/>
              </w:rPr>
              <w:t>(2007)</w:t>
            </w:r>
            <w:r w:rsidRPr="00452C87">
              <w:rPr>
                <w:rFonts w:ascii="Times New Roman" w:eastAsia="標楷體" w:hAnsi="Times New Roman" w:hint="eastAsia"/>
                <w:color w:val="000000"/>
                <w:kern w:val="0"/>
                <w:szCs w:val="24"/>
              </w:rPr>
              <w:t>，食品化學。</w:t>
            </w:r>
          </w:p>
        </w:tc>
      </w:tr>
      <w:tr w:rsidR="00C64330" w:rsidRPr="005C4E84" w:rsidTr="00D32E23">
        <w:trPr>
          <w:trHeight w:val="330"/>
        </w:trPr>
        <w:tc>
          <w:tcPr>
            <w:tcW w:w="1162" w:type="dxa"/>
            <w:vMerge/>
            <w:shd w:val="clear" w:color="000000" w:fill="D8E4BC"/>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13</w:t>
            </w:r>
          </w:p>
        </w:tc>
        <w:tc>
          <w:tcPr>
            <w:tcW w:w="6774" w:type="dxa"/>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賴滋漢、金安兒、柯文慶，食品加工學</w:t>
            </w:r>
            <w:r w:rsidRPr="00D32E23">
              <w:rPr>
                <w:rFonts w:ascii="Times New Roman" w:eastAsia="標楷體" w:hAnsi="Times New Roman"/>
                <w:color w:val="000000"/>
                <w:kern w:val="0"/>
                <w:szCs w:val="24"/>
              </w:rPr>
              <w:t xml:space="preserve"> (</w:t>
            </w:r>
            <w:r w:rsidRPr="00D32E23">
              <w:rPr>
                <w:rFonts w:ascii="Times New Roman" w:eastAsia="標楷體" w:hAnsi="Times New Roman" w:hint="eastAsia"/>
                <w:color w:val="000000"/>
                <w:kern w:val="0"/>
                <w:szCs w:val="24"/>
              </w:rPr>
              <w:t>共三冊</w:t>
            </w:r>
            <w:r w:rsidRPr="00D32E23">
              <w:rPr>
                <w:rFonts w:ascii="Times New Roman" w:eastAsia="標楷體" w:hAnsi="Times New Roman"/>
                <w:color w:val="000000"/>
                <w:kern w:val="0"/>
                <w:szCs w:val="24"/>
              </w:rPr>
              <w:t>)</w:t>
            </w:r>
            <w:r>
              <w:rPr>
                <w:rFonts w:ascii="Times New Roman" w:eastAsia="標楷體" w:hAnsi="Times New Roman" w:hint="eastAsia"/>
                <w:color w:val="000000"/>
                <w:kern w:val="0"/>
                <w:szCs w:val="24"/>
              </w:rPr>
              <w:t>。</w:t>
            </w:r>
            <w:r w:rsidRPr="00452C87">
              <w:rPr>
                <w:rFonts w:ascii="Times New Roman" w:eastAsia="標楷體" w:hAnsi="Times New Roman"/>
                <w:color w:val="000000"/>
                <w:kern w:val="0"/>
                <w:szCs w:val="24"/>
              </w:rPr>
              <w:t xml:space="preserve"> </w:t>
            </w:r>
          </w:p>
        </w:tc>
      </w:tr>
      <w:tr w:rsidR="00C64330" w:rsidRPr="005C4E84" w:rsidTr="00D32E23">
        <w:trPr>
          <w:trHeight w:val="330"/>
        </w:trPr>
        <w:tc>
          <w:tcPr>
            <w:tcW w:w="1162" w:type="dxa"/>
            <w:vMerge w:val="restart"/>
            <w:shd w:val="clear" w:color="000000" w:fill="B7DEE8"/>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 xml:space="preserve">H023 </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食品加工</w:t>
            </w: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14</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林淑瑗等合著</w:t>
            </w:r>
            <w:r w:rsidRPr="00452C87">
              <w:rPr>
                <w:rFonts w:ascii="Times New Roman" w:eastAsia="標楷體" w:hAnsi="Times New Roman"/>
                <w:color w:val="000000"/>
                <w:kern w:val="0"/>
                <w:szCs w:val="24"/>
              </w:rPr>
              <w:t>(2010)</w:t>
            </w:r>
            <w:r w:rsidRPr="00452C87">
              <w:rPr>
                <w:rFonts w:ascii="Times New Roman" w:eastAsia="標楷體" w:hAnsi="Times New Roman" w:hint="eastAsia"/>
                <w:color w:val="000000"/>
                <w:kern w:val="0"/>
                <w:szCs w:val="24"/>
              </w:rPr>
              <w:t>，食品加工</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理論基礎篇</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15</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江善宗等審校</w:t>
            </w:r>
            <w:r w:rsidRPr="00452C87">
              <w:rPr>
                <w:rFonts w:ascii="Times New Roman" w:eastAsia="標楷體" w:hAnsi="Times New Roman"/>
                <w:color w:val="000000"/>
                <w:kern w:val="0"/>
                <w:szCs w:val="24"/>
              </w:rPr>
              <w:t>(2004)</w:t>
            </w:r>
            <w:r w:rsidRPr="00452C87">
              <w:rPr>
                <w:rFonts w:ascii="Times New Roman" w:eastAsia="標楷體" w:hAnsi="Times New Roman" w:hint="eastAsia"/>
                <w:color w:val="000000"/>
                <w:kern w:val="0"/>
                <w:szCs w:val="24"/>
              </w:rPr>
              <w:t>，水產品加工技術。</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16</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林淑瑗等合著</w:t>
            </w:r>
            <w:r w:rsidRPr="00452C87">
              <w:rPr>
                <w:rFonts w:ascii="Times New Roman" w:eastAsia="標楷體" w:hAnsi="Times New Roman"/>
                <w:color w:val="000000"/>
                <w:kern w:val="0"/>
                <w:szCs w:val="24"/>
              </w:rPr>
              <w:t>(2009)</w:t>
            </w:r>
            <w:r w:rsidRPr="00452C87">
              <w:rPr>
                <w:rFonts w:ascii="Times New Roman" w:eastAsia="標楷體" w:hAnsi="Times New Roman" w:hint="eastAsia"/>
                <w:color w:val="000000"/>
                <w:kern w:val="0"/>
                <w:szCs w:val="24"/>
              </w:rPr>
              <w:t>，食品加工學</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實用</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r w:rsidR="00C64330" w:rsidRPr="005C4E84" w:rsidTr="00D32E23">
        <w:trPr>
          <w:trHeight w:val="315"/>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17</w:t>
            </w:r>
          </w:p>
        </w:tc>
        <w:tc>
          <w:tcPr>
            <w:tcW w:w="6774" w:type="dxa"/>
            <w:shd w:val="clear" w:color="000000" w:fill="B7DEE8"/>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Norman N. Potter/ Joseph H. Ho</w:t>
            </w:r>
            <w:smartTag w:uri="urn:schemas-microsoft-com:office:smarttags" w:element="PersonName">
              <w:r w:rsidRPr="00452C87">
                <w:rPr>
                  <w:rFonts w:ascii="Times New Roman" w:eastAsia="標楷體" w:hAnsi="Times New Roman"/>
                  <w:color w:val="000000"/>
                  <w:kern w:val="0"/>
                  <w:szCs w:val="24"/>
                </w:rPr>
                <w:t>tch</w:t>
              </w:r>
            </w:smartTag>
            <w:r w:rsidRPr="00452C87">
              <w:rPr>
                <w:rFonts w:ascii="Times New Roman" w:eastAsia="標楷體" w:hAnsi="Times New Roman"/>
                <w:color w:val="000000"/>
                <w:kern w:val="0"/>
                <w:szCs w:val="24"/>
              </w:rPr>
              <w:t>kiss, (1995), Food Science, Chapman &amp; Hall.</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1</w:t>
            </w:r>
            <w:r w:rsidRPr="00D32E23">
              <w:rPr>
                <w:rFonts w:ascii="Times New Roman" w:eastAsia="標楷體" w:hAnsi="Times New Roman"/>
                <w:color w:val="000000"/>
                <w:kern w:val="0"/>
                <w:szCs w:val="24"/>
              </w:rPr>
              <w:t>8</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吳清熊編譯</w:t>
            </w:r>
            <w:r w:rsidRPr="00452C87">
              <w:rPr>
                <w:rFonts w:ascii="Times New Roman" w:eastAsia="標楷體" w:hAnsi="Times New Roman"/>
                <w:color w:val="000000"/>
                <w:kern w:val="0"/>
                <w:szCs w:val="24"/>
              </w:rPr>
              <w:t>(1992)</w:t>
            </w:r>
            <w:r w:rsidRPr="00452C87">
              <w:rPr>
                <w:rFonts w:ascii="Times New Roman" w:eastAsia="標楷體" w:hAnsi="Times New Roman" w:hint="eastAsia"/>
                <w:color w:val="000000"/>
                <w:kern w:val="0"/>
                <w:szCs w:val="24"/>
              </w:rPr>
              <w:t>，水產加工技術。</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19</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王聯輝等合著</w:t>
            </w:r>
            <w:r w:rsidRPr="00452C87">
              <w:rPr>
                <w:rFonts w:ascii="Times New Roman" w:eastAsia="標楷體" w:hAnsi="Times New Roman"/>
                <w:color w:val="000000"/>
                <w:kern w:val="0"/>
                <w:szCs w:val="24"/>
              </w:rPr>
              <w:t>(2004)</w:t>
            </w:r>
            <w:r w:rsidRPr="00452C87">
              <w:rPr>
                <w:rFonts w:ascii="Times New Roman" w:eastAsia="標楷體" w:hAnsi="Times New Roman" w:hint="eastAsia"/>
                <w:color w:val="000000"/>
                <w:kern w:val="0"/>
                <w:szCs w:val="24"/>
              </w:rPr>
              <w:t>，食品加工</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產品製造篇</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bl>
    <w:p w:rsidR="00C64330" w:rsidRPr="00F747AB" w:rsidRDefault="00C64330" w:rsidP="00F747AB">
      <w:pPr>
        <w:pStyle w:val="a3"/>
      </w:pPr>
    </w:p>
    <w:sectPr w:rsidR="00C64330" w:rsidRPr="00F747AB" w:rsidSect="00F349F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CB" w:rsidRDefault="00B661CB" w:rsidP="00665E53">
      <w:r>
        <w:separator/>
      </w:r>
    </w:p>
  </w:endnote>
  <w:endnote w:type="continuationSeparator" w:id="0">
    <w:p w:rsidR="00B661CB" w:rsidRDefault="00B661CB" w:rsidP="0066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30" w:rsidRDefault="001D4DBC">
    <w:pPr>
      <w:pStyle w:val="a6"/>
      <w:jc w:val="center"/>
    </w:pPr>
    <w:r>
      <w:fldChar w:fldCharType="begin"/>
    </w:r>
    <w:r>
      <w:instrText>PAGE   \* MERGEFORMAT</w:instrText>
    </w:r>
    <w:r>
      <w:fldChar w:fldCharType="separate"/>
    </w:r>
    <w:r w:rsidR="00CB1294" w:rsidRPr="00CB1294">
      <w:rPr>
        <w:noProof/>
        <w:lang w:val="zh-TW"/>
      </w:rPr>
      <w:t>1</w:t>
    </w:r>
    <w:r>
      <w:rPr>
        <w:noProof/>
        <w:lang w:val="zh-TW"/>
      </w:rPr>
      <w:fldChar w:fldCharType="end"/>
    </w:r>
  </w:p>
  <w:p w:rsidR="00C64330" w:rsidRDefault="00C643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CB" w:rsidRDefault="00B661CB" w:rsidP="00665E53">
      <w:r>
        <w:separator/>
      </w:r>
    </w:p>
  </w:footnote>
  <w:footnote w:type="continuationSeparator" w:id="0">
    <w:p w:rsidR="00B661CB" w:rsidRDefault="00B661CB" w:rsidP="0066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87"/>
    <w:rsid w:val="000D5C32"/>
    <w:rsid w:val="001D4DBC"/>
    <w:rsid w:val="002202E7"/>
    <w:rsid w:val="00264753"/>
    <w:rsid w:val="00296C53"/>
    <w:rsid w:val="0031124E"/>
    <w:rsid w:val="00376BE4"/>
    <w:rsid w:val="003C3514"/>
    <w:rsid w:val="003F46A4"/>
    <w:rsid w:val="00452C87"/>
    <w:rsid w:val="005244C5"/>
    <w:rsid w:val="005C4E84"/>
    <w:rsid w:val="00665E53"/>
    <w:rsid w:val="006F6663"/>
    <w:rsid w:val="007A61B7"/>
    <w:rsid w:val="007F340E"/>
    <w:rsid w:val="00823B57"/>
    <w:rsid w:val="00826C64"/>
    <w:rsid w:val="009264E5"/>
    <w:rsid w:val="00A008DE"/>
    <w:rsid w:val="00A50227"/>
    <w:rsid w:val="00A81D27"/>
    <w:rsid w:val="00B51897"/>
    <w:rsid w:val="00B661CB"/>
    <w:rsid w:val="00BD5FD0"/>
    <w:rsid w:val="00C11817"/>
    <w:rsid w:val="00C35E35"/>
    <w:rsid w:val="00C64330"/>
    <w:rsid w:val="00CB1294"/>
    <w:rsid w:val="00D0016F"/>
    <w:rsid w:val="00D2046A"/>
    <w:rsid w:val="00D32E23"/>
    <w:rsid w:val="00E02958"/>
    <w:rsid w:val="00E24F46"/>
    <w:rsid w:val="00E651F1"/>
    <w:rsid w:val="00EC747F"/>
    <w:rsid w:val="00F349F3"/>
    <w:rsid w:val="00F747AB"/>
    <w:rsid w:val="00F77912"/>
    <w:rsid w:val="00FA3182"/>
    <w:rsid w:val="00FC7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52C87"/>
    <w:rPr>
      <w:sz w:val="20"/>
      <w:szCs w:val="20"/>
    </w:rPr>
  </w:style>
  <w:style w:type="paragraph" w:styleId="a4">
    <w:name w:val="header"/>
    <w:basedOn w:val="a"/>
    <w:link w:val="a5"/>
    <w:uiPriority w:val="99"/>
    <w:rsid w:val="00665E53"/>
    <w:pPr>
      <w:tabs>
        <w:tab w:val="center" w:pos="4153"/>
        <w:tab w:val="right" w:pos="8306"/>
      </w:tabs>
      <w:snapToGrid w:val="0"/>
    </w:pPr>
    <w:rPr>
      <w:sz w:val="20"/>
      <w:szCs w:val="20"/>
    </w:rPr>
  </w:style>
  <w:style w:type="character" w:customStyle="1" w:styleId="a5">
    <w:name w:val="頁首 字元"/>
    <w:basedOn w:val="a0"/>
    <w:link w:val="a4"/>
    <w:uiPriority w:val="99"/>
    <w:locked/>
    <w:rsid w:val="00665E53"/>
    <w:rPr>
      <w:rFonts w:cs="Times New Roman"/>
      <w:sz w:val="20"/>
      <w:szCs w:val="20"/>
    </w:rPr>
  </w:style>
  <w:style w:type="paragraph" w:styleId="a6">
    <w:name w:val="footer"/>
    <w:basedOn w:val="a"/>
    <w:link w:val="a7"/>
    <w:uiPriority w:val="99"/>
    <w:rsid w:val="00665E53"/>
    <w:pPr>
      <w:tabs>
        <w:tab w:val="center" w:pos="4153"/>
        <w:tab w:val="right" w:pos="8306"/>
      </w:tabs>
      <w:snapToGrid w:val="0"/>
    </w:pPr>
    <w:rPr>
      <w:sz w:val="20"/>
      <w:szCs w:val="20"/>
    </w:rPr>
  </w:style>
  <w:style w:type="character" w:customStyle="1" w:styleId="a7">
    <w:name w:val="頁尾 字元"/>
    <w:basedOn w:val="a0"/>
    <w:link w:val="a6"/>
    <w:uiPriority w:val="99"/>
    <w:locked/>
    <w:rsid w:val="00665E5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52C87"/>
    <w:rPr>
      <w:sz w:val="20"/>
      <w:szCs w:val="20"/>
    </w:rPr>
  </w:style>
  <w:style w:type="paragraph" w:styleId="a4">
    <w:name w:val="header"/>
    <w:basedOn w:val="a"/>
    <w:link w:val="a5"/>
    <w:uiPriority w:val="99"/>
    <w:rsid w:val="00665E53"/>
    <w:pPr>
      <w:tabs>
        <w:tab w:val="center" w:pos="4153"/>
        <w:tab w:val="right" w:pos="8306"/>
      </w:tabs>
      <w:snapToGrid w:val="0"/>
    </w:pPr>
    <w:rPr>
      <w:sz w:val="20"/>
      <w:szCs w:val="20"/>
    </w:rPr>
  </w:style>
  <w:style w:type="character" w:customStyle="1" w:styleId="a5">
    <w:name w:val="頁首 字元"/>
    <w:basedOn w:val="a0"/>
    <w:link w:val="a4"/>
    <w:uiPriority w:val="99"/>
    <w:locked/>
    <w:rsid w:val="00665E53"/>
    <w:rPr>
      <w:rFonts w:cs="Times New Roman"/>
      <w:sz w:val="20"/>
      <w:szCs w:val="20"/>
    </w:rPr>
  </w:style>
  <w:style w:type="paragraph" w:styleId="a6">
    <w:name w:val="footer"/>
    <w:basedOn w:val="a"/>
    <w:link w:val="a7"/>
    <w:uiPriority w:val="99"/>
    <w:rsid w:val="00665E53"/>
    <w:pPr>
      <w:tabs>
        <w:tab w:val="center" w:pos="4153"/>
        <w:tab w:val="right" w:pos="8306"/>
      </w:tabs>
      <w:snapToGrid w:val="0"/>
    </w:pPr>
    <w:rPr>
      <w:sz w:val="20"/>
      <w:szCs w:val="20"/>
    </w:rPr>
  </w:style>
  <w:style w:type="character" w:customStyle="1" w:styleId="a7">
    <w:name w:val="頁尾 字元"/>
    <w:basedOn w:val="a0"/>
    <w:link w:val="a6"/>
    <w:uiPriority w:val="99"/>
    <w:locked/>
    <w:rsid w:val="00665E5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9760">
      <w:marLeft w:val="0"/>
      <w:marRight w:val="0"/>
      <w:marTop w:val="0"/>
      <w:marBottom w:val="0"/>
      <w:divBdr>
        <w:top w:val="none" w:sz="0" w:space="0" w:color="auto"/>
        <w:left w:val="none" w:sz="0" w:space="0" w:color="auto"/>
        <w:bottom w:val="none" w:sz="0" w:space="0" w:color="auto"/>
        <w:right w:val="none" w:sz="0" w:space="0" w:color="auto"/>
      </w:divBdr>
    </w:div>
    <w:div w:id="2028869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Company>itri</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為因應考生準備考試之需求，特邀請台灣保健食品學會推薦重點書目後，再經由保健食品專業人才能力鑑定推動委員會勾選出較常使用之書目，最後將其彙整如下，僅供參考</dc:title>
  <dc:creator>劉雯中</dc:creator>
  <cp:lastModifiedBy>admin</cp:lastModifiedBy>
  <cp:revision>2</cp:revision>
  <dcterms:created xsi:type="dcterms:W3CDTF">2015-06-08T01:02:00Z</dcterms:created>
  <dcterms:modified xsi:type="dcterms:W3CDTF">2015-06-08T01:02:00Z</dcterms:modified>
</cp:coreProperties>
</file>