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5CA3" w14:textId="23783759" w:rsidR="00F679CA" w:rsidRDefault="004B65D3" w:rsidP="00316F78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335F8">
        <w:rPr>
          <w:rFonts w:ascii="Times New Roman" w:eastAsia="標楷體" w:hAnsi="Times New Roman" w:cs="Times New Roman"/>
          <w:sz w:val="32"/>
          <w:szCs w:val="32"/>
        </w:rPr>
        <w:t>修正「食品添加物使用範圍及限量暨規格標準」</w:t>
      </w:r>
      <w:r w:rsidR="005F4223" w:rsidRPr="00C335F8">
        <w:rPr>
          <w:rFonts w:ascii="Times New Roman" w:eastAsia="標楷體" w:hAnsi="Times New Roman" w:cs="Times New Roman"/>
          <w:sz w:val="32"/>
          <w:szCs w:val="32"/>
        </w:rPr>
        <w:t>相關</w:t>
      </w:r>
      <w:r w:rsidR="005F4223" w:rsidRPr="00C335F8">
        <w:rPr>
          <w:rFonts w:ascii="Times New Roman" w:eastAsia="標楷體" w:hAnsi="Times New Roman" w:cs="Times New Roman"/>
          <w:sz w:val="32"/>
          <w:szCs w:val="32"/>
        </w:rPr>
        <w:t>FAQ</w:t>
      </w:r>
    </w:p>
    <w:p w14:paraId="55F012D1" w14:textId="77777777" w:rsidR="005C6857" w:rsidRPr="005C6857" w:rsidRDefault="005C6857" w:rsidP="00316F78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BCF63D" w14:textId="5866205C" w:rsidR="00204270" w:rsidRPr="00204270" w:rsidRDefault="00204270" w:rsidP="00316F78">
      <w:pPr>
        <w:pStyle w:val="a3"/>
        <w:numPr>
          <w:ilvl w:val="0"/>
          <w:numId w:val="20"/>
        </w:numPr>
        <w:tabs>
          <w:tab w:val="left" w:pos="709"/>
        </w:tabs>
        <w:spacing w:line="5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棕櫚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使用限量</w:t>
      </w:r>
      <w:r w:rsidR="00C16F82" w:rsidRPr="00C16F82">
        <w:rPr>
          <w:rFonts w:ascii="Times New Roman" w:eastAsia="標楷體" w:hAnsi="Times New Roman" w:cs="Times New Roman" w:hint="eastAsia"/>
          <w:sz w:val="32"/>
          <w:szCs w:val="32"/>
        </w:rPr>
        <w:t>修正</w:t>
      </w:r>
    </w:p>
    <w:p w14:paraId="3D82B73C" w14:textId="1A50C5B2" w:rsidR="007541B8" w:rsidRDefault="007541B8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825E7">
        <w:rPr>
          <w:rFonts w:ascii="Times New Roman" w:eastAsia="標楷體" w:hAnsi="Times New Roman" w:cs="Times New Roman" w:hint="eastAsia"/>
          <w:sz w:val="32"/>
          <w:szCs w:val="32"/>
        </w:rPr>
        <w:t>關於「棕櫚蠟」用於新鮮水果表面之用量，係以新鮮水果總量計或僅以水果表面重量計</w:t>
      </w:r>
      <w:r>
        <w:rPr>
          <w:rFonts w:ascii="Times New Roman" w:eastAsia="標楷體" w:hAnsi="Times New Roman" w:cs="Times New Roman" w:hint="eastAsia"/>
          <w:sz w:val="32"/>
          <w:szCs w:val="32"/>
        </w:rPr>
        <w:t>？</w:t>
      </w:r>
    </w:p>
    <w:p w14:paraId="5ABC4F90" w14:textId="77777777" w:rsidR="007541B8" w:rsidRPr="00C335F8" w:rsidRDefault="007541B8" w:rsidP="00316F78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825E7">
        <w:rPr>
          <w:rFonts w:ascii="Times New Roman" w:eastAsia="標楷體" w:hAnsi="Times New Roman" w:cs="Times New Roman" w:hint="eastAsia"/>
          <w:sz w:val="32"/>
          <w:szCs w:val="32"/>
        </w:rPr>
        <w:t>係以新鮮水果總量計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05452E31" w14:textId="77777777" w:rsidR="007541B8" w:rsidRDefault="007541B8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原規定</w:t>
      </w:r>
      <w:r w:rsidRPr="00E47AAB">
        <w:rPr>
          <w:rFonts w:ascii="Times New Roman" w:eastAsia="標楷體" w:hAnsi="Times New Roman" w:cs="Times New Roman" w:hint="eastAsia"/>
          <w:sz w:val="32"/>
          <w:szCs w:val="32"/>
        </w:rPr>
        <w:t>「棕櫚蠟」可於糖果（包括口香糖及巧克力）、膠囊狀及錠狀食品中視實際需要適量用</w:t>
      </w:r>
      <w:r>
        <w:rPr>
          <w:rFonts w:ascii="Times New Roman" w:eastAsia="標楷體" w:hAnsi="Times New Roman" w:cs="Times New Roman" w:hint="eastAsia"/>
          <w:sz w:val="32"/>
          <w:szCs w:val="32"/>
        </w:rPr>
        <w:t>，現於使用限制修正為「</w:t>
      </w:r>
      <w:r w:rsidRPr="00E47AAB">
        <w:rPr>
          <w:rFonts w:ascii="Times New Roman" w:eastAsia="標楷體" w:hAnsi="Times New Roman" w:cs="Times New Roman" w:hint="eastAsia"/>
          <w:sz w:val="32"/>
          <w:szCs w:val="32"/>
        </w:rPr>
        <w:t>限用於表面處理</w:t>
      </w:r>
      <w:r>
        <w:rPr>
          <w:rFonts w:ascii="Times New Roman" w:eastAsia="標楷體" w:hAnsi="Times New Roman" w:cs="Times New Roman" w:hint="eastAsia"/>
          <w:sz w:val="32"/>
          <w:szCs w:val="32"/>
        </w:rPr>
        <w:t>」，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是否屬加嚴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管理？</w:t>
      </w:r>
    </w:p>
    <w:p w14:paraId="4A09D056" w14:textId="1CB92CCA" w:rsidR="007541B8" w:rsidRPr="00E47AAB" w:rsidRDefault="007541B8" w:rsidP="004D0668">
      <w:pPr>
        <w:pStyle w:val="a3"/>
        <w:numPr>
          <w:ilvl w:val="0"/>
          <w:numId w:val="2"/>
        </w:numPr>
        <w:spacing w:line="500" w:lineRule="exact"/>
        <w:ind w:leftChars="0" w:left="709" w:hanging="73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查</w:t>
      </w:r>
      <w:r w:rsidRPr="00124871">
        <w:rPr>
          <w:rFonts w:ascii="Times New Roman" w:eastAsia="標楷體" w:hAnsi="Times New Roman" w:cs="Times New Roman" w:hint="eastAsia"/>
          <w:sz w:val="32"/>
          <w:szCs w:val="32"/>
        </w:rPr>
        <w:t>聯合國食品法典委員會</w:t>
      </w:r>
      <w:r w:rsidRPr="00124871">
        <w:rPr>
          <w:rFonts w:ascii="Times New Roman" w:eastAsia="標楷體" w:hAnsi="Times New Roman" w:cs="Times New Roman" w:hint="eastAsia"/>
          <w:sz w:val="32"/>
          <w:szCs w:val="32"/>
        </w:rPr>
        <w:t>(Codex Alimentarius Commission</w:t>
      </w:r>
      <w:r>
        <w:rPr>
          <w:rFonts w:ascii="Times New Roman" w:eastAsia="標楷體" w:hAnsi="Times New Roman" w:cs="Times New Roman"/>
          <w:sz w:val="32"/>
          <w:szCs w:val="32"/>
        </w:rPr>
        <w:t>, Codex</w:t>
      </w:r>
      <w:r w:rsidRPr="00124871"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及歐盟</w:t>
      </w:r>
      <w:r w:rsidRPr="00124871">
        <w:rPr>
          <w:rFonts w:ascii="Times New Roman" w:eastAsia="標楷體" w:hAnsi="Times New Roman" w:cs="Times New Roman" w:hint="eastAsia"/>
          <w:sz w:val="32"/>
          <w:szCs w:val="32"/>
        </w:rPr>
        <w:t>之規範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E47AAB">
        <w:rPr>
          <w:rFonts w:ascii="Times New Roman" w:eastAsia="標楷體" w:hAnsi="Times New Roman" w:cs="Times New Roman" w:hint="eastAsia"/>
          <w:sz w:val="32"/>
          <w:szCs w:val="32"/>
        </w:rPr>
        <w:t>「棕櫚蠟」</w:t>
      </w:r>
      <w:r>
        <w:rPr>
          <w:rFonts w:ascii="Times New Roman" w:eastAsia="標楷體" w:hAnsi="Times New Roman" w:cs="Times New Roman" w:hint="eastAsia"/>
          <w:sz w:val="32"/>
          <w:szCs w:val="32"/>
        </w:rPr>
        <w:t>於此次修正及新增之使用範圍，包括：糖果、巧克力、口香糖、膳食補充品及水果等，皆規範為限於表面處理，故本次修正內容係與國際規範一致。此修正</w:t>
      </w:r>
      <w:r w:rsidRPr="00930CB0">
        <w:rPr>
          <w:rFonts w:ascii="Times New Roman" w:eastAsia="標楷體" w:hAnsi="Times New Roman" w:cs="Times New Roman" w:hint="eastAsia"/>
          <w:sz w:val="32"/>
          <w:szCs w:val="32"/>
        </w:rPr>
        <w:t>給予緩衝期至</w:t>
      </w:r>
      <w:r w:rsidR="00316F78">
        <w:rPr>
          <w:rFonts w:ascii="Times New Roman" w:eastAsia="標楷體" w:hAnsi="Times New Roman" w:cs="Times New Roman" w:hint="eastAsia"/>
          <w:sz w:val="32"/>
          <w:szCs w:val="32"/>
        </w:rPr>
        <w:t>116</w:t>
      </w:r>
      <w:r w:rsidRPr="00930CB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16F78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930CB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930CB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30CB0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14:paraId="180CDF74" w14:textId="77777777" w:rsidR="00204270" w:rsidRDefault="00204270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棕櫚蠟由</w:t>
      </w:r>
      <w:proofErr w:type="gramEnd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「膠囊狀及錠狀食品中視實際需要適量用」修正</w:t>
      </w:r>
      <w:r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本品可</w:t>
      </w:r>
      <w:proofErr w:type="gramEnd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用於膠囊狀及錠狀食品，用量為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 xml:space="preserve">200mg/kg 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以下」。</w:t>
      </w:r>
      <w:r>
        <w:rPr>
          <w:rFonts w:ascii="Times New Roman" w:eastAsia="標楷體" w:hAnsi="Times New Roman" w:cs="Times New Roman" w:hint="eastAsia"/>
          <w:sz w:val="32"/>
          <w:szCs w:val="32"/>
        </w:rPr>
        <w:t>原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已查驗登記</w:t>
      </w:r>
      <w:r>
        <w:rPr>
          <w:rFonts w:ascii="Times New Roman" w:eastAsia="標楷體" w:hAnsi="Times New Roman" w:cs="Times New Roman" w:hint="eastAsia"/>
          <w:sz w:val="32"/>
          <w:szCs w:val="32"/>
        </w:rPr>
        <w:t>核可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的「膠囊狀及錠狀食品」產品</w:t>
      </w:r>
      <w:r>
        <w:rPr>
          <w:rFonts w:ascii="Times New Roman" w:eastAsia="標楷體" w:hAnsi="Times New Roman" w:cs="Times New Roman" w:hint="eastAsia"/>
          <w:sz w:val="32"/>
          <w:szCs w:val="32"/>
        </w:rPr>
        <w:t>所含</w:t>
      </w:r>
      <w:proofErr w:type="gramStart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棕櫚蠟</w:t>
      </w:r>
      <w:r>
        <w:rPr>
          <w:rFonts w:ascii="Times New Roman" w:eastAsia="標楷體" w:hAnsi="Times New Roman" w:cs="Times New Roman" w:hint="eastAsia"/>
          <w:sz w:val="32"/>
          <w:szCs w:val="32"/>
        </w:rPr>
        <w:t>倘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超出</w:t>
      </w:r>
      <w:proofErr w:type="gramEnd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用量，會如何處理？</w:t>
      </w:r>
    </w:p>
    <w:p w14:paraId="40E513AC" w14:textId="79E8F8E3" w:rsidR="00204270" w:rsidRDefault="00204270" w:rsidP="004D0668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法規正式公告後，針對涉及棕櫚</w:t>
      </w:r>
      <w:proofErr w:type="gramStart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蠟</w:t>
      </w:r>
      <w:proofErr w:type="gramEnd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用於膠囊狀及錠狀食品，用量超過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200 mg/kg</w:t>
      </w:r>
      <w:r w:rsidRPr="005D2A46">
        <w:rPr>
          <w:rFonts w:ascii="Times New Roman" w:eastAsia="標楷體" w:hAnsi="Times New Roman" w:cs="Times New Roman" w:hint="eastAsia"/>
          <w:sz w:val="32"/>
          <w:szCs w:val="32"/>
        </w:rPr>
        <w:t>之查驗登記產品，</w:t>
      </w:r>
      <w:proofErr w:type="gramStart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本署將</w:t>
      </w:r>
      <w:proofErr w:type="gramEnd"/>
      <w:r w:rsidRPr="005D2A46">
        <w:rPr>
          <w:rFonts w:ascii="Times New Roman" w:eastAsia="標楷體" w:hAnsi="Times New Roman" w:cs="Times New Roman" w:hint="eastAsia"/>
          <w:sz w:val="32"/>
          <w:szCs w:val="32"/>
        </w:rPr>
        <w:t>函請業者配合繳回許可文件，辦理廢止作業。</w:t>
      </w:r>
    </w:p>
    <w:p w14:paraId="79A10FB4" w14:textId="788FC614" w:rsidR="004D0668" w:rsidRDefault="004D0668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D0668">
        <w:rPr>
          <w:rFonts w:ascii="Times New Roman" w:eastAsia="標楷體" w:hAnsi="Times New Roman" w:cs="Times New Roman" w:hint="eastAsia"/>
          <w:sz w:val="32"/>
          <w:szCs w:val="32"/>
        </w:rPr>
        <w:t>修正</w:t>
      </w:r>
      <w:proofErr w:type="gramStart"/>
      <w:r w:rsidRPr="004D0668">
        <w:rPr>
          <w:rFonts w:ascii="Times New Roman" w:eastAsia="標楷體" w:hAnsi="Times New Roman" w:cs="Times New Roman" w:hint="eastAsia"/>
          <w:sz w:val="32"/>
          <w:szCs w:val="32"/>
        </w:rPr>
        <w:t>棕櫚蠟於糖果</w:t>
      </w:r>
      <w:proofErr w:type="gramEnd"/>
      <w:r w:rsidRPr="004D0668">
        <w:rPr>
          <w:rFonts w:ascii="Times New Roman" w:eastAsia="標楷體" w:hAnsi="Times New Roman" w:cs="Times New Roman" w:hint="eastAsia"/>
          <w:sz w:val="32"/>
          <w:szCs w:val="32"/>
        </w:rPr>
        <w:t>與巧克力之使用限量</w:t>
      </w:r>
      <w:r w:rsidR="004170F0" w:rsidRPr="004D0668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4170F0" w:rsidRPr="004D0668">
        <w:rPr>
          <w:rFonts w:ascii="Times New Roman" w:eastAsia="標楷體" w:hAnsi="Times New Roman" w:cs="Times New Roman" w:hint="eastAsia"/>
          <w:sz w:val="32"/>
          <w:szCs w:val="32"/>
        </w:rPr>
        <w:t>500 mg/kg</w:t>
      </w:r>
      <w:r w:rsidR="004170F0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Pr="004D0668">
        <w:rPr>
          <w:rFonts w:ascii="Times New Roman" w:eastAsia="標楷體" w:hAnsi="Times New Roman" w:cs="Times New Roman" w:hint="eastAsia"/>
          <w:sz w:val="32"/>
          <w:szCs w:val="32"/>
        </w:rPr>
        <w:t>參考規範</w:t>
      </w:r>
      <w:r w:rsidR="004170F0">
        <w:rPr>
          <w:rFonts w:ascii="Times New Roman" w:eastAsia="標楷體" w:hAnsi="Times New Roman" w:cs="Times New Roman" w:hint="eastAsia"/>
          <w:sz w:val="32"/>
          <w:szCs w:val="32"/>
        </w:rPr>
        <w:t>為何？</w:t>
      </w:r>
    </w:p>
    <w:p w14:paraId="7DF62373" w14:textId="29E12F89" w:rsidR="004170F0" w:rsidRPr="005D2A46" w:rsidRDefault="004170F0" w:rsidP="004170F0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4170F0">
        <w:rPr>
          <w:rFonts w:ascii="Times New Roman" w:eastAsia="標楷體" w:hAnsi="Times New Roman" w:cs="Times New Roman" w:hint="eastAsia"/>
          <w:sz w:val="32"/>
          <w:szCs w:val="32"/>
        </w:rPr>
        <w:t>修正之棕櫚</w:t>
      </w:r>
      <w:proofErr w:type="gramStart"/>
      <w:r w:rsidRPr="004170F0">
        <w:rPr>
          <w:rFonts w:ascii="Times New Roman" w:eastAsia="標楷體" w:hAnsi="Times New Roman" w:cs="Times New Roman" w:hint="eastAsia"/>
          <w:sz w:val="32"/>
          <w:szCs w:val="32"/>
        </w:rPr>
        <w:t>蠟</w:t>
      </w:r>
      <w:proofErr w:type="gramEnd"/>
      <w:r w:rsidRPr="004170F0">
        <w:rPr>
          <w:rFonts w:ascii="Times New Roman" w:eastAsia="標楷體" w:hAnsi="Times New Roman" w:cs="Times New Roman" w:hint="eastAsia"/>
          <w:sz w:val="32"/>
          <w:szCs w:val="32"/>
        </w:rPr>
        <w:t>使用限量係參考歐盟之規範，歐盟針對棕櫚</w:t>
      </w:r>
      <w:proofErr w:type="gramStart"/>
      <w:r w:rsidRPr="004170F0">
        <w:rPr>
          <w:rFonts w:ascii="Times New Roman" w:eastAsia="標楷體" w:hAnsi="Times New Roman" w:cs="Times New Roman" w:hint="eastAsia"/>
          <w:sz w:val="32"/>
          <w:szCs w:val="32"/>
        </w:rPr>
        <w:t>蠟</w:t>
      </w:r>
      <w:proofErr w:type="gramEnd"/>
      <w:r w:rsidRPr="004170F0">
        <w:rPr>
          <w:rFonts w:ascii="Times New Roman" w:eastAsia="標楷體" w:hAnsi="Times New Roman" w:cs="Times New Roman" w:hint="eastAsia"/>
          <w:sz w:val="32"/>
          <w:szCs w:val="32"/>
        </w:rPr>
        <w:t>用於糖果與巧克力之限量為</w:t>
      </w:r>
      <w:r w:rsidRPr="004170F0">
        <w:rPr>
          <w:rFonts w:ascii="Times New Roman" w:eastAsia="標楷體" w:hAnsi="Times New Roman" w:cs="Times New Roman" w:hint="eastAsia"/>
          <w:sz w:val="32"/>
          <w:szCs w:val="32"/>
        </w:rPr>
        <w:t>500 mg/kg</w:t>
      </w:r>
      <w:r w:rsidRPr="004170F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29C3A24" w14:textId="6E6F794D" w:rsidR="00204270" w:rsidRDefault="00204270" w:rsidP="00316F7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58D737C" w14:textId="05AC79B2" w:rsidR="00204270" w:rsidRPr="00204270" w:rsidRDefault="00C16F82" w:rsidP="00316F78">
      <w:pPr>
        <w:pStyle w:val="a3"/>
        <w:numPr>
          <w:ilvl w:val="0"/>
          <w:numId w:val="20"/>
        </w:numPr>
        <w:tabs>
          <w:tab w:val="left" w:pos="709"/>
        </w:tabs>
        <w:spacing w:line="5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鎂及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使用限量修正</w:t>
      </w:r>
    </w:p>
    <w:p w14:paraId="4B700543" w14:textId="6CE305BE" w:rsidR="008752DE" w:rsidRPr="00BA0D02" w:rsidRDefault="008752DE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類營養添加劑</w:t>
      </w:r>
      <w:r w:rsidRPr="00BA0D02">
        <w:rPr>
          <w:rFonts w:ascii="Times New Roman" w:eastAsia="標楷體" w:hAnsi="Times New Roman" w:cs="Times New Roman" w:hint="eastAsia"/>
          <w:sz w:val="32"/>
          <w:szCs w:val="32"/>
        </w:rPr>
        <w:t>「硫酸鎂」等</w:t>
      </w:r>
      <w:r>
        <w:rPr>
          <w:rFonts w:ascii="Times New Roman" w:eastAsia="標楷體" w:hAnsi="Times New Roman" w:cs="Times New Roman" w:hint="eastAsia"/>
          <w:sz w:val="32"/>
          <w:szCs w:val="32"/>
        </w:rPr>
        <w:t>19</w:t>
      </w:r>
      <w:r w:rsidRPr="00BA0D02">
        <w:rPr>
          <w:rFonts w:ascii="Times New Roman" w:eastAsia="標楷體" w:hAnsi="Times New Roman" w:cs="Times New Roman" w:hint="eastAsia"/>
          <w:sz w:val="32"/>
          <w:szCs w:val="32"/>
        </w:rPr>
        <w:t>項食品添加物於部分食品</w:t>
      </w:r>
      <w:proofErr w:type="gramStart"/>
      <w:r w:rsidRPr="00BA0D02">
        <w:rPr>
          <w:rFonts w:ascii="Times New Roman" w:eastAsia="標楷體" w:hAnsi="Times New Roman" w:cs="Times New Roman" w:hint="eastAsia"/>
          <w:sz w:val="32"/>
          <w:szCs w:val="32"/>
        </w:rPr>
        <w:t>之鎂使用</w:t>
      </w:r>
      <w:proofErr w:type="gramEnd"/>
      <w:r w:rsidRPr="00BA0D02">
        <w:rPr>
          <w:rFonts w:ascii="Times New Roman" w:eastAsia="標楷體" w:hAnsi="Times New Roman" w:cs="Times New Roman" w:hint="eastAsia"/>
          <w:sz w:val="32"/>
          <w:szCs w:val="32"/>
        </w:rPr>
        <w:t>限量</w:t>
      </w:r>
      <w:r>
        <w:rPr>
          <w:rFonts w:ascii="Times New Roman" w:eastAsia="標楷體" w:hAnsi="Times New Roman" w:cs="Times New Roman" w:hint="eastAsia"/>
          <w:sz w:val="32"/>
          <w:szCs w:val="32"/>
        </w:rPr>
        <w:t>為何會調降？</w:t>
      </w:r>
    </w:p>
    <w:p w14:paraId="086A7E89" w14:textId="77777777" w:rsidR="00F9667B" w:rsidRDefault="00F9667B" w:rsidP="00316F78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F5419A1" w14:textId="77777777" w:rsidR="00F9667B" w:rsidRPr="00F9667B" w:rsidRDefault="00F9667B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衛生福利部國民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健康署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下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稱國健署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2022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年公布「國人膳食營養素參考攝取量」第八版，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1-3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歲之上限攝取量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 xml:space="preserve"> (Tolerable Upper Intake Levels, UL)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65 mg/day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4-9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歲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UL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110 mg/day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，其他年齡層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UL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均為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 xml:space="preserve"> 350 mg/day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，並以非食物來源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僅補充劑形式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表示。</w:t>
      </w:r>
    </w:p>
    <w:p w14:paraId="08682D14" w14:textId="77777777" w:rsidR="00F9667B" w:rsidRPr="00F9667B" w:rsidRDefault="00F9667B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另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，衛生福利部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113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1131401394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令發布修正「含維生素產品認定基準表」，名稱並修正為「含維生素或礦物質之口服藥品基準表」，其中訂定「鎂」每日不以藥品列管之上限為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350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毫克。</w:t>
      </w:r>
    </w:p>
    <w:p w14:paraId="05941C00" w14:textId="77777777" w:rsidR="00081174" w:rsidRDefault="00F9667B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查其他國家或國際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組織之鎂上限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攝取量，加拿大、美國、紐西蘭、澳洲及日本訂定或建議成人攝取鎂之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UL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，皆為考慮非</w:t>
      </w:r>
      <w:proofErr w:type="gramStart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食物性鎂來源</w:t>
      </w:r>
      <w:proofErr w:type="gramEnd"/>
      <w:r w:rsidRPr="00F9667B">
        <w:rPr>
          <w:rFonts w:ascii="Times New Roman" w:eastAsia="標楷體" w:hAnsi="Times New Roman" w:cs="Times New Roman" w:hint="eastAsia"/>
          <w:sz w:val="32"/>
          <w:szCs w:val="32"/>
        </w:rPr>
        <w:t>，並皆為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350 mg/day</w:t>
      </w:r>
      <w:r w:rsidRPr="00F9667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386ACDD" w14:textId="37EC06BD" w:rsidR="008752DE" w:rsidRPr="00817092" w:rsidRDefault="00C16F82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綜上</w:t>
      </w:r>
      <w:r w:rsidR="0008117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本標準將規範文字由「在每日食用量中，其鎂之</w:t>
      </w:r>
      <w:r w:rsidR="008752DE" w:rsidRPr="00E963D6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總含量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不得高於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600</w:t>
      </w:r>
      <w:r w:rsidR="00D31658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mg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」修正為「每日鎂之</w:t>
      </w:r>
      <w:r w:rsidR="008752DE" w:rsidRPr="00E963D6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用量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不得高於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350 mg</w:t>
      </w:r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E963D6">
        <w:rPr>
          <w:rFonts w:ascii="Times New Roman" w:eastAsia="標楷體" w:hAnsi="Times New Roman" w:cs="Times New Roman" w:hint="eastAsia"/>
          <w:sz w:val="32"/>
          <w:szCs w:val="32"/>
        </w:rPr>
        <w:t>，故該限量係規範實際添加</w:t>
      </w:r>
      <w:proofErr w:type="gramStart"/>
      <w:r w:rsidR="00E963D6">
        <w:rPr>
          <w:rFonts w:ascii="Times New Roman" w:eastAsia="標楷體" w:hAnsi="Times New Roman" w:cs="Times New Roman" w:hint="eastAsia"/>
          <w:sz w:val="32"/>
          <w:szCs w:val="32"/>
        </w:rPr>
        <w:t>之含鎂營養添加劑用量</w:t>
      </w:r>
      <w:proofErr w:type="gramEnd"/>
      <w:r w:rsidR="008752DE" w:rsidRPr="00E30480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此修正給予緩衝期至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116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752DE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14:paraId="5770DCA4" w14:textId="24B28617" w:rsidR="007541B8" w:rsidRDefault="007541B8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營養添加劑中編號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 xml:space="preserve"> 272 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項至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 xml:space="preserve"> 291 </w:t>
      </w:r>
      <w:proofErr w:type="gramStart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項擬新增</w:t>
      </w:r>
      <w:proofErr w:type="gramEnd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同意使用於「限供成人使用之膳食補充品」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，有無具體之定義？</w:t>
      </w:r>
    </w:p>
    <w:p w14:paraId="6FCEF6AC" w14:textId="66BD7B78" w:rsidR="007541B8" w:rsidRDefault="007541B8" w:rsidP="000D5285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關於營養添加劑中編號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 xml:space="preserve"> 272 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項至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 xml:space="preserve"> 291 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項新增使用於「限供成人使用之膳食補充品」，其中成人依我國民法係指年滿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歲者，「膳食補充品」一詞並非首見於食品添加物標準，其定義參見食品安全衛生管理法規解釋彙編查詢系統中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03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FDA</w:t>
      </w:r>
      <w:proofErr w:type="gramStart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食字第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1110005679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106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07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FDA</w:t>
      </w:r>
      <w:proofErr w:type="gramStart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食字第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1060025770</w:t>
      </w:r>
      <w:r w:rsidRPr="007541B8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Pr="007541B8">
        <w:rPr>
          <w:rFonts w:ascii="Times New Roman" w:eastAsia="標楷體" w:hAnsi="Times New Roman" w:cs="Times New Roman" w:hint="eastAsia"/>
          <w:sz w:val="32"/>
          <w:szCs w:val="32"/>
        </w:rPr>
        <w:t>函釋。</w:t>
      </w:r>
    </w:p>
    <w:p w14:paraId="37B08B28" w14:textId="77777777" w:rsidR="00720983" w:rsidRDefault="00720983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類營養添加劑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E8019A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Pr="00E8019A">
        <w:rPr>
          <w:rFonts w:ascii="Times New Roman" w:eastAsia="標楷體" w:hAnsi="Times New Roman" w:cs="Times New Roman" w:hint="eastAsia"/>
          <w:sz w:val="32"/>
          <w:szCs w:val="32"/>
        </w:rPr>
        <w:t>酸鈉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無水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BA0D02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BA0D02">
        <w:rPr>
          <w:rFonts w:ascii="Times New Roman" w:eastAsia="標楷體" w:hAnsi="Times New Roman" w:cs="Times New Roman" w:hint="eastAsia"/>
          <w:sz w:val="32"/>
          <w:szCs w:val="32"/>
        </w:rPr>
        <w:t>項食品添加物</w:t>
      </w:r>
      <w:r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每日食用量中，其</w:t>
      </w:r>
      <w:proofErr w:type="gramStart"/>
      <w:r w:rsidRPr="00E8019A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Pr="00E8019A">
        <w:rPr>
          <w:rFonts w:ascii="Times New Roman" w:eastAsia="標楷體" w:hAnsi="Times New Roman" w:cs="Times New Roman" w:hint="eastAsia"/>
          <w:sz w:val="32"/>
          <w:szCs w:val="32"/>
        </w:rPr>
        <w:t>之總含量</w:t>
      </w:r>
      <w:r>
        <w:rPr>
          <w:rFonts w:ascii="Times New Roman" w:eastAsia="標楷體" w:hAnsi="Times New Roman" w:cs="Times New Roman" w:hint="eastAsia"/>
          <w:sz w:val="32"/>
          <w:szCs w:val="32"/>
        </w:rPr>
        <w:t>調降為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200 </w:t>
      </w:r>
      <w:proofErr w:type="spellStart"/>
      <w:r w:rsidRPr="00E8019A">
        <w:rPr>
          <w:rFonts w:ascii="Times New Roman" w:eastAsia="標楷體" w:hAnsi="Times New Roman" w:cs="Times New Roman"/>
          <w:sz w:val="32"/>
          <w:szCs w:val="32"/>
        </w:rPr>
        <w:t>μg</w:t>
      </w:r>
      <w:proofErr w:type="spellEnd"/>
      <w:r>
        <w:rPr>
          <w:rFonts w:ascii="Times New Roman" w:eastAsia="標楷體" w:hAnsi="Times New Roman" w:cs="Times New Roman" w:hint="eastAsia"/>
          <w:sz w:val="32"/>
          <w:szCs w:val="32"/>
        </w:rPr>
        <w:t>？</w:t>
      </w:r>
    </w:p>
    <w:p w14:paraId="0AD74A30" w14:textId="3F0DAAB7" w:rsidR="00720983" w:rsidRDefault="00720983" w:rsidP="00316F78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是。</w:t>
      </w:r>
      <w:r w:rsidR="00D37EBF">
        <w:rPr>
          <w:rFonts w:ascii="Times New Roman" w:eastAsia="標楷體" w:hAnsi="Times New Roman" w:cs="Times New Roman" w:hint="eastAsia"/>
          <w:sz w:val="32"/>
          <w:szCs w:val="32"/>
        </w:rPr>
        <w:t>為保障民眾食品安全，</w:t>
      </w:r>
      <w:proofErr w:type="gramStart"/>
      <w:r w:rsidR="00D37EBF">
        <w:rPr>
          <w:rFonts w:ascii="Times New Roman" w:eastAsia="標楷體" w:hAnsi="Times New Roman" w:cs="Times New Roman" w:hint="eastAsia"/>
          <w:sz w:val="32"/>
          <w:szCs w:val="32"/>
        </w:rPr>
        <w:t>本署依</w:t>
      </w:r>
      <w:proofErr w:type="gramEnd"/>
      <w:r w:rsidR="00D37EBF">
        <w:rPr>
          <w:rFonts w:ascii="Times New Roman" w:eastAsia="標楷體" w:hAnsi="Times New Roman" w:cs="Times New Roman" w:hint="eastAsia"/>
          <w:sz w:val="32"/>
          <w:szCs w:val="32"/>
        </w:rPr>
        <w:t>最新</w:t>
      </w:r>
      <w:r w:rsidR="00D37EBF" w:rsidRPr="00B915DB">
        <w:rPr>
          <w:rFonts w:ascii="Times New Roman" w:eastAsia="標楷體" w:hAnsi="Times New Roman" w:cs="Times New Roman" w:hint="eastAsia"/>
          <w:sz w:val="32"/>
          <w:szCs w:val="32"/>
        </w:rPr>
        <w:t>膳食風險評估結果</w:t>
      </w:r>
      <w:r w:rsidR="00D37EBF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27322" w:rsidRPr="00F27322">
        <w:rPr>
          <w:rFonts w:ascii="Times New Roman" w:eastAsia="標楷體" w:hAnsi="Times New Roman" w:cs="Times New Roman" w:hint="eastAsia"/>
          <w:sz w:val="32"/>
          <w:szCs w:val="32"/>
        </w:rPr>
        <w:t>以國人膳食習慣估算之</w:t>
      </w:r>
      <w:proofErr w:type="gramStart"/>
      <w:r w:rsidR="00F27322" w:rsidRPr="00F27322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="00F27322" w:rsidRPr="00F27322">
        <w:rPr>
          <w:rFonts w:ascii="Times New Roman" w:eastAsia="標楷體" w:hAnsi="Times New Roman" w:cs="Times New Roman" w:hint="eastAsia"/>
          <w:sz w:val="32"/>
          <w:szCs w:val="32"/>
        </w:rPr>
        <w:t>平均攝取量，加上法規膳食補充品之</w:t>
      </w:r>
      <w:proofErr w:type="gramStart"/>
      <w:r w:rsidR="00F27322" w:rsidRPr="00F27322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="00F27322" w:rsidRPr="00F27322">
        <w:rPr>
          <w:rFonts w:ascii="Times New Roman" w:eastAsia="標楷體" w:hAnsi="Times New Roman" w:cs="Times New Roman" w:hint="eastAsia"/>
          <w:sz w:val="32"/>
          <w:szCs w:val="32"/>
        </w:rPr>
        <w:t>使用限量之總和，比較日本、韓國、歐盟上限攝取量綜合評估</w:t>
      </w:r>
      <w:r w:rsidR="00F2732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37EBF">
        <w:rPr>
          <w:rFonts w:ascii="Times New Roman" w:eastAsia="標楷體" w:hAnsi="Times New Roman" w:cs="Times New Roman" w:hint="eastAsia"/>
          <w:sz w:val="32"/>
          <w:szCs w:val="32"/>
        </w:rPr>
        <w:t>將含</w:t>
      </w:r>
      <w:proofErr w:type="gramStart"/>
      <w:r w:rsidR="00D37EBF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="00D37EBF">
        <w:rPr>
          <w:rFonts w:ascii="Times New Roman" w:eastAsia="標楷體" w:hAnsi="Times New Roman" w:cs="Times New Roman" w:hint="eastAsia"/>
          <w:sz w:val="32"/>
          <w:szCs w:val="32"/>
        </w:rPr>
        <w:t>營養</w:t>
      </w:r>
      <w:proofErr w:type="gramStart"/>
      <w:r w:rsidR="00D37EBF">
        <w:rPr>
          <w:rFonts w:ascii="Times New Roman" w:eastAsia="標楷體" w:hAnsi="Times New Roman" w:cs="Times New Roman" w:hint="eastAsia"/>
          <w:sz w:val="32"/>
          <w:szCs w:val="32"/>
        </w:rPr>
        <w:t>添加劑於食品</w:t>
      </w:r>
      <w:proofErr w:type="gramEnd"/>
      <w:r w:rsidR="00D37EBF">
        <w:rPr>
          <w:rFonts w:ascii="Times New Roman" w:eastAsia="標楷體" w:hAnsi="Times New Roman" w:cs="Times New Roman" w:hint="eastAsia"/>
          <w:sz w:val="32"/>
          <w:szCs w:val="32"/>
        </w:rPr>
        <w:t>規範之</w:t>
      </w:r>
      <w:proofErr w:type="gramStart"/>
      <w:r w:rsidR="00D37EBF" w:rsidRPr="00E8019A">
        <w:rPr>
          <w:rFonts w:ascii="Times New Roman" w:eastAsia="標楷體" w:hAnsi="Times New Roman" w:cs="Times New Roman" w:hint="eastAsia"/>
          <w:sz w:val="32"/>
          <w:szCs w:val="32"/>
        </w:rPr>
        <w:t>鉬</w:t>
      </w:r>
      <w:proofErr w:type="gramEnd"/>
      <w:r w:rsidR="00D37EBF" w:rsidRPr="00E8019A">
        <w:rPr>
          <w:rFonts w:ascii="Times New Roman" w:eastAsia="標楷體" w:hAnsi="Times New Roman" w:cs="Times New Roman" w:hint="eastAsia"/>
          <w:sz w:val="32"/>
          <w:szCs w:val="32"/>
        </w:rPr>
        <w:t>總含量</w:t>
      </w:r>
      <w:r w:rsidR="00D37EBF">
        <w:rPr>
          <w:rFonts w:ascii="Times New Roman" w:eastAsia="標楷體" w:hAnsi="Times New Roman" w:cs="Times New Roman" w:hint="eastAsia"/>
          <w:sz w:val="32"/>
          <w:szCs w:val="32"/>
        </w:rPr>
        <w:t>上限值由</w:t>
      </w:r>
      <w:r w:rsidR="00D37EBF" w:rsidRPr="00E8019A">
        <w:rPr>
          <w:rFonts w:ascii="Times New Roman" w:eastAsia="標楷體" w:hAnsi="Times New Roman" w:cs="Times New Roman" w:hint="eastAsia"/>
          <w:sz w:val="32"/>
          <w:szCs w:val="32"/>
        </w:rPr>
        <w:t xml:space="preserve"> 350 </w:t>
      </w:r>
      <w:proofErr w:type="spellStart"/>
      <w:r w:rsidR="00D37EBF" w:rsidRPr="00E8019A">
        <w:rPr>
          <w:rFonts w:ascii="Times New Roman" w:eastAsia="標楷體" w:hAnsi="Times New Roman" w:cs="Times New Roman"/>
          <w:sz w:val="32"/>
          <w:szCs w:val="32"/>
        </w:rPr>
        <w:t>μg</w:t>
      </w:r>
      <w:proofErr w:type="spellEnd"/>
      <w:r w:rsidR="00D37EBF">
        <w:rPr>
          <w:rFonts w:ascii="Times New Roman" w:eastAsia="標楷體" w:hAnsi="Times New Roman" w:cs="Times New Roman" w:hint="eastAsia"/>
          <w:sz w:val="32"/>
          <w:szCs w:val="32"/>
        </w:rPr>
        <w:t>調降至</w:t>
      </w:r>
      <w:r w:rsidR="00D37EBF" w:rsidRPr="00E8019A">
        <w:rPr>
          <w:rFonts w:ascii="Times New Roman" w:eastAsia="標楷體" w:hAnsi="Times New Roman" w:cs="Times New Roman" w:hint="eastAsia"/>
          <w:sz w:val="32"/>
          <w:szCs w:val="32"/>
        </w:rPr>
        <w:t xml:space="preserve">200 </w:t>
      </w:r>
      <w:proofErr w:type="spellStart"/>
      <w:r w:rsidR="00D37EBF" w:rsidRPr="00E8019A">
        <w:rPr>
          <w:rFonts w:ascii="Times New Roman" w:eastAsia="標楷體" w:hAnsi="Times New Roman" w:cs="Times New Roman"/>
          <w:sz w:val="32"/>
          <w:szCs w:val="32"/>
        </w:rPr>
        <w:t>μg</w:t>
      </w:r>
      <w:proofErr w:type="spellEnd"/>
      <w:r w:rsidR="00D37EBF">
        <w:rPr>
          <w:rFonts w:ascii="Times New Roman" w:eastAsia="標楷體" w:hAnsi="Times New Roman" w:cs="Times New Roman" w:hint="eastAsia"/>
          <w:sz w:val="32"/>
          <w:szCs w:val="32"/>
        </w:rPr>
        <w:t>，並將</w:t>
      </w:r>
      <w:r>
        <w:rPr>
          <w:rFonts w:ascii="Times New Roman" w:eastAsia="標楷體" w:hAnsi="Times New Roman" w:cs="Times New Roman" w:hint="eastAsia"/>
          <w:sz w:val="32"/>
          <w:szCs w:val="32"/>
        </w:rPr>
        <w:t>使用範圍</w:t>
      </w:r>
      <w:r w:rsidR="005D59B4">
        <w:rPr>
          <w:rFonts w:ascii="Times New Roman" w:eastAsia="標楷體" w:hAnsi="Times New Roman" w:cs="Times New Roman" w:hint="eastAsia"/>
          <w:sz w:val="32"/>
          <w:szCs w:val="32"/>
        </w:rPr>
        <w:t>中「</w:t>
      </w:r>
      <w:r w:rsidR="005D59B4" w:rsidRPr="005D59B4">
        <w:rPr>
          <w:rFonts w:ascii="Times New Roman" w:eastAsia="標楷體" w:hAnsi="Times New Roman" w:cs="Times New Roman" w:hint="eastAsia"/>
          <w:sz w:val="32"/>
          <w:szCs w:val="32"/>
        </w:rPr>
        <w:t>形態屬膠囊狀、錠狀且標示有每日食用限量之食品</w:t>
      </w:r>
      <w:r w:rsidR="005D59B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修正為</w:t>
      </w:r>
      <w:r w:rsidR="005D59B4">
        <w:rPr>
          <w:rFonts w:ascii="Times New Roman" w:eastAsia="標楷體" w:hAnsi="Times New Roman" w:cs="Times New Roman" w:hint="eastAsia"/>
          <w:sz w:val="32"/>
          <w:szCs w:val="32"/>
        </w:rPr>
        <w:t>「限</w:t>
      </w:r>
      <w:r w:rsidRPr="00E8019A">
        <w:rPr>
          <w:rFonts w:ascii="Times New Roman" w:eastAsia="標楷體" w:hAnsi="Times New Roman" w:cs="Times New Roman" w:hint="eastAsia"/>
          <w:sz w:val="32"/>
          <w:szCs w:val="32"/>
        </w:rPr>
        <w:t>供成人使用之膳食補充品</w:t>
      </w:r>
      <w:r w:rsidR="005D59B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。此修正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給予緩衝期至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F27322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F27322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A25A32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14:paraId="0A5B136A" w14:textId="78128F43" w:rsidR="002A2B13" w:rsidRDefault="002A2B13" w:rsidP="00316F7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B0EE27D" w14:textId="419183CC" w:rsidR="002A2B13" w:rsidRPr="002A2B13" w:rsidRDefault="002A2B13" w:rsidP="00316F78">
      <w:pPr>
        <w:pStyle w:val="a3"/>
        <w:numPr>
          <w:ilvl w:val="0"/>
          <w:numId w:val="20"/>
        </w:numPr>
        <w:tabs>
          <w:tab w:val="left" w:pos="709"/>
        </w:tabs>
        <w:spacing w:line="50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檸檬酸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鎂及亞硒酸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鈉用於</w:t>
      </w:r>
      <w:r w:rsidRPr="00871B26">
        <w:rPr>
          <w:rFonts w:ascii="Times New Roman" w:eastAsia="標楷體" w:hAnsi="Times New Roman" w:cs="Times New Roman" w:hint="eastAsia"/>
          <w:sz w:val="32"/>
          <w:szCs w:val="32"/>
        </w:rPr>
        <w:t>標示適用早產兒之嬰兒（輔助）食品</w:t>
      </w:r>
    </w:p>
    <w:p w14:paraId="607CED3D" w14:textId="77777777" w:rsidR="00204270" w:rsidRDefault="00204270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此次修正檸檬酸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鎂及亞硒酸鈉可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用於</w:t>
      </w:r>
      <w:r w:rsidRPr="00871B26">
        <w:rPr>
          <w:rFonts w:ascii="Times New Roman" w:eastAsia="標楷體" w:hAnsi="Times New Roman" w:cs="Times New Roman" w:hint="eastAsia"/>
          <w:sz w:val="32"/>
          <w:szCs w:val="32"/>
        </w:rPr>
        <w:t>標示適用早產兒之嬰兒（輔助）食品</w:t>
      </w:r>
      <w:r>
        <w:rPr>
          <w:rFonts w:ascii="Times New Roman" w:eastAsia="標楷體" w:hAnsi="Times New Roman" w:cs="Times New Roman" w:hint="eastAsia"/>
          <w:sz w:val="32"/>
          <w:szCs w:val="32"/>
        </w:rPr>
        <w:t>之緣由？</w:t>
      </w:r>
    </w:p>
    <w:p w14:paraId="33A61D72" w14:textId="1D0F27B3" w:rsidR="00204270" w:rsidRDefault="00204270" w:rsidP="000D5285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該修正係因應</w:t>
      </w:r>
      <w:r w:rsidRPr="007226A0">
        <w:rPr>
          <w:rFonts w:ascii="Times New Roman" w:eastAsia="標楷體" w:hAnsi="Times New Roman" w:cs="Times New Roman" w:hint="eastAsia"/>
          <w:sz w:val="32"/>
          <w:szCs w:val="32"/>
        </w:rPr>
        <w:t>以母乳哺餵早產兒之家庭</w:t>
      </w:r>
      <w:r>
        <w:rPr>
          <w:rFonts w:ascii="Times New Roman" w:eastAsia="標楷體" w:hAnsi="Times New Roman" w:cs="Times New Roman" w:hint="eastAsia"/>
          <w:sz w:val="32"/>
          <w:szCs w:val="32"/>
        </w:rPr>
        <w:t>需求，開放該等營養添加劑可添加於</w:t>
      </w:r>
      <w:r w:rsidRPr="00871B26">
        <w:rPr>
          <w:rFonts w:ascii="Times New Roman" w:eastAsia="標楷體" w:hAnsi="Times New Roman" w:cs="Times New Roman" w:hint="eastAsia"/>
          <w:sz w:val="32"/>
          <w:szCs w:val="32"/>
        </w:rPr>
        <w:t>適用早產兒之嬰兒（輔助）食品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例如：</w:t>
      </w:r>
      <w:r w:rsidRPr="007226A0">
        <w:rPr>
          <w:rFonts w:ascii="Times New Roman" w:eastAsia="標楷體" w:hAnsi="Times New Roman" w:cs="Times New Roman" w:hint="eastAsia"/>
          <w:sz w:val="32"/>
          <w:szCs w:val="32"/>
        </w:rPr>
        <w:t>可添加於母乳中，提供早產兒使用之營養補充品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7226A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52D7C90" w14:textId="63411910" w:rsidR="007A7A5E" w:rsidRDefault="007A7A5E" w:rsidP="00316F7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36B6788" w14:textId="155444EB" w:rsidR="007A7A5E" w:rsidRPr="007A7A5E" w:rsidRDefault="007A7A5E" w:rsidP="00316F78">
      <w:pPr>
        <w:pStyle w:val="a3"/>
        <w:numPr>
          <w:ilvl w:val="0"/>
          <w:numId w:val="20"/>
        </w:numPr>
        <w:tabs>
          <w:tab w:val="left" w:pos="709"/>
        </w:tabs>
        <w:spacing w:line="50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十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類香料規範調整</w:t>
      </w:r>
    </w:p>
    <w:p w14:paraId="3F8C57D7" w14:textId="0C98A6A8" w:rsidR="00183433" w:rsidRPr="00183433" w:rsidRDefault="00183433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335F8">
        <w:rPr>
          <w:rFonts w:ascii="Times New Roman" w:eastAsia="標楷體" w:hAnsi="Times New Roman" w:cs="Times New Roman"/>
          <w:sz w:val="32"/>
          <w:szCs w:val="32"/>
        </w:rPr>
        <w:t>第</w:t>
      </w:r>
      <w:r w:rsidRPr="00C335F8">
        <w:rPr>
          <w:rFonts w:ascii="Times New Roman" w:eastAsia="標楷體" w:hAnsi="Times New Roman" w:cs="Times New Roman"/>
          <w:sz w:val="32"/>
          <w:szCs w:val="32"/>
        </w:rPr>
        <w:t>(</w:t>
      </w:r>
      <w:r w:rsidRPr="00C335F8">
        <w:rPr>
          <w:rFonts w:ascii="Times New Roman" w:eastAsia="標楷體" w:hAnsi="Times New Roman" w:cs="Times New Roman"/>
          <w:sz w:val="32"/>
          <w:szCs w:val="32"/>
        </w:rPr>
        <w:t>十</w:t>
      </w:r>
      <w:r w:rsidRPr="00C335F8">
        <w:rPr>
          <w:rFonts w:ascii="Times New Roman" w:eastAsia="標楷體" w:hAnsi="Times New Roman" w:cs="Times New Roman"/>
          <w:sz w:val="32"/>
          <w:szCs w:val="32"/>
        </w:rPr>
        <w:t>)</w:t>
      </w:r>
      <w:r w:rsidRPr="00C335F8">
        <w:rPr>
          <w:rFonts w:ascii="Times New Roman" w:eastAsia="標楷體" w:hAnsi="Times New Roman" w:cs="Times New Roman"/>
          <w:sz w:val="32"/>
          <w:szCs w:val="32"/>
        </w:rPr>
        <w:t>類香料</w:t>
      </w:r>
      <w:r w:rsidRPr="00183433">
        <w:rPr>
          <w:rFonts w:ascii="Times New Roman" w:eastAsia="標楷體" w:hAnsi="Times New Roman" w:cs="Times New Roman" w:hint="eastAsia"/>
          <w:sz w:val="32"/>
          <w:szCs w:val="32"/>
        </w:rPr>
        <w:t>參考國際規範對於香料添加物之分類方式，調整</w:t>
      </w:r>
      <w:r w:rsidR="00154762">
        <w:rPr>
          <w:rFonts w:ascii="Times New Roman" w:eastAsia="標楷體" w:hAnsi="Times New Roman" w:cs="Times New Roman" w:hint="eastAsia"/>
          <w:sz w:val="32"/>
          <w:szCs w:val="32"/>
        </w:rPr>
        <w:t>十項之使用規定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54762">
        <w:rPr>
          <w:rFonts w:ascii="Times New Roman" w:eastAsia="標楷體" w:hAnsi="Times New Roman" w:cs="Times New Roman" w:hint="eastAsia"/>
          <w:sz w:val="32"/>
          <w:szCs w:val="32"/>
        </w:rPr>
        <w:t>所指為何</w:t>
      </w:r>
      <w:r w:rsidR="00F27FFD">
        <w:rPr>
          <w:rFonts w:ascii="Times New Roman" w:eastAsia="標楷體" w:hAnsi="Times New Roman" w:cs="Times New Roman" w:hint="eastAsia"/>
          <w:sz w:val="32"/>
          <w:szCs w:val="32"/>
        </w:rPr>
        <w:t>？</w:t>
      </w:r>
      <w:r w:rsidRPr="00C335F8">
        <w:rPr>
          <w:rFonts w:ascii="Times New Roman" w:eastAsia="標楷體" w:hAnsi="Times New Roman" w:cs="Times New Roman"/>
          <w:sz w:val="32"/>
          <w:szCs w:val="32"/>
        </w:rPr>
        <w:t>但未見詳細香料細項清單，香料之准用品項如何認定？</w:t>
      </w:r>
    </w:p>
    <w:p w14:paraId="5EFDC3E7" w14:textId="77777777" w:rsidR="00B660B9" w:rsidRDefault="00B660B9" w:rsidP="00316F78">
      <w:pPr>
        <w:pStyle w:val="a3"/>
        <w:numPr>
          <w:ilvl w:val="0"/>
          <w:numId w:val="2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D1F7C4E" w14:textId="0F87B0D0" w:rsidR="006C0A9D" w:rsidRDefault="00B660B9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此次修正並未調整現行針對食用香料實質規範，</w:t>
      </w:r>
      <w:r w:rsidR="00967641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F27FFD">
        <w:rPr>
          <w:rFonts w:ascii="Times New Roman" w:eastAsia="標楷體" w:hAnsi="Times New Roman" w:cs="Times New Roman" w:hint="eastAsia"/>
          <w:sz w:val="32"/>
          <w:szCs w:val="32"/>
        </w:rPr>
        <w:t>未</w:t>
      </w:r>
      <w:proofErr w:type="gramStart"/>
      <w:r w:rsidR="00967641">
        <w:rPr>
          <w:rFonts w:ascii="Times New Roman" w:eastAsia="標楷體" w:hAnsi="Times New Roman" w:cs="Times New Roman" w:hint="eastAsia"/>
          <w:sz w:val="32"/>
          <w:szCs w:val="32"/>
        </w:rPr>
        <w:t>擴增准用</w:t>
      </w:r>
      <w:proofErr w:type="gramEnd"/>
      <w:r w:rsidR="00967641">
        <w:rPr>
          <w:rFonts w:ascii="Times New Roman" w:eastAsia="標楷體" w:hAnsi="Times New Roman" w:cs="Times New Roman" w:hint="eastAsia"/>
          <w:sz w:val="32"/>
          <w:szCs w:val="32"/>
        </w:rPr>
        <w:t>的食用香料品項。</w:t>
      </w:r>
    </w:p>
    <w:p w14:paraId="0508869D" w14:textId="77777777" w:rsidR="006C0A9D" w:rsidRDefault="00F66B20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我國現行准用之香料</w:t>
      </w:r>
      <w:proofErr w:type="gramStart"/>
      <w:r w:rsidR="006C0A9D">
        <w:rPr>
          <w:rFonts w:ascii="Times New Roman" w:eastAsia="標楷體" w:hAnsi="Times New Roman" w:cs="Times New Roman" w:hint="eastAsia"/>
          <w:sz w:val="32"/>
          <w:szCs w:val="32"/>
        </w:rPr>
        <w:t>品項依</w:t>
      </w:r>
      <w:r w:rsidR="006C0A9D" w:rsidRPr="006C0A9D">
        <w:rPr>
          <w:rFonts w:ascii="Times New Roman" w:eastAsia="標楷體" w:hAnsi="Times New Roman" w:cs="Times New Roman" w:hint="eastAsia"/>
          <w:sz w:val="32"/>
          <w:szCs w:val="32"/>
        </w:rPr>
        <w:t>使用</w:t>
      </w:r>
      <w:proofErr w:type="gramEnd"/>
      <w:r w:rsidR="006C0A9D" w:rsidRPr="006C0A9D">
        <w:rPr>
          <w:rFonts w:ascii="Times New Roman" w:eastAsia="標楷體" w:hAnsi="Times New Roman" w:cs="Times New Roman" w:hint="eastAsia"/>
          <w:sz w:val="32"/>
          <w:szCs w:val="32"/>
        </w:rPr>
        <w:t>限制欄位皆列載「一般認為安全</w:t>
      </w:r>
      <w:proofErr w:type="gramStart"/>
      <w:r w:rsidR="006C0A9D" w:rsidRPr="006C0A9D">
        <w:rPr>
          <w:rFonts w:ascii="Times New Roman" w:eastAsia="標楷體" w:hAnsi="Times New Roman" w:cs="Times New Roman" w:hint="eastAsia"/>
          <w:sz w:val="32"/>
          <w:szCs w:val="32"/>
        </w:rPr>
        <w:t>無慮者始</w:t>
      </w:r>
      <w:proofErr w:type="gramEnd"/>
      <w:r w:rsidR="006C0A9D" w:rsidRPr="006C0A9D">
        <w:rPr>
          <w:rFonts w:ascii="Times New Roman" w:eastAsia="標楷體" w:hAnsi="Times New Roman" w:cs="Times New Roman" w:hint="eastAsia"/>
          <w:sz w:val="32"/>
          <w:szCs w:val="32"/>
        </w:rPr>
        <w:t>准使用。」</w:t>
      </w:r>
      <w:r w:rsidR="006C0A9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C0A9D" w:rsidRPr="00C335F8">
        <w:rPr>
          <w:rFonts w:ascii="Times New Roman" w:eastAsia="標楷體" w:hAnsi="Times New Roman" w:cs="Times New Roman"/>
          <w:sz w:val="32"/>
          <w:szCs w:val="32"/>
        </w:rPr>
        <w:t>有關「一般認為安全</w:t>
      </w:r>
      <w:proofErr w:type="gramStart"/>
      <w:r w:rsidR="006C0A9D" w:rsidRPr="00C335F8">
        <w:rPr>
          <w:rFonts w:ascii="Times New Roman" w:eastAsia="標楷體" w:hAnsi="Times New Roman" w:cs="Times New Roman"/>
          <w:sz w:val="32"/>
          <w:szCs w:val="32"/>
        </w:rPr>
        <w:t>無慮者始</w:t>
      </w:r>
      <w:proofErr w:type="gramEnd"/>
      <w:r w:rsidR="006C0A9D" w:rsidRPr="00C335F8">
        <w:rPr>
          <w:rFonts w:ascii="Times New Roman" w:eastAsia="標楷體" w:hAnsi="Times New Roman" w:cs="Times New Roman"/>
          <w:sz w:val="32"/>
          <w:szCs w:val="32"/>
        </w:rPr>
        <w:t>准使用。」係指</w:t>
      </w:r>
      <w:r>
        <w:rPr>
          <w:rFonts w:ascii="Times New Roman" w:eastAsia="標楷體" w:hAnsi="Times New Roman" w:cs="Times New Roman" w:hint="eastAsia"/>
          <w:sz w:val="32"/>
          <w:szCs w:val="32"/>
        </w:rPr>
        <w:t>參考</w:t>
      </w:r>
      <w:r w:rsidRPr="00F66B20">
        <w:rPr>
          <w:rFonts w:ascii="Times New Roman" w:eastAsia="標楷體" w:hAnsi="Times New Roman" w:cs="Times New Roman" w:hint="eastAsia"/>
          <w:sz w:val="32"/>
          <w:szCs w:val="32"/>
        </w:rPr>
        <w:t>聯合國糧農組織及世界衛生組織共同之食品添加物專家委員會</w:t>
      </w:r>
      <w:r w:rsidRPr="00F66B20">
        <w:rPr>
          <w:rFonts w:ascii="Times New Roman" w:eastAsia="標楷體" w:hAnsi="Times New Roman" w:cs="Times New Roman" w:hint="eastAsia"/>
          <w:sz w:val="32"/>
          <w:szCs w:val="32"/>
        </w:rPr>
        <w:t>(the Joint FAO/WHO Expert Committee on Food Additives, JECFA)</w:t>
      </w:r>
      <w:r w:rsidRPr="00F66B20">
        <w:rPr>
          <w:rFonts w:ascii="Times New Roman" w:eastAsia="標楷體" w:hAnsi="Times New Roman" w:cs="Times New Roman" w:hint="eastAsia"/>
          <w:sz w:val="32"/>
          <w:szCs w:val="32"/>
        </w:rPr>
        <w:t>、美國食品香料與萃取物製造協會</w:t>
      </w:r>
      <w:r w:rsidRPr="00F66B20">
        <w:rPr>
          <w:rFonts w:ascii="Times New Roman" w:eastAsia="標楷體" w:hAnsi="Times New Roman" w:cs="Times New Roman" w:hint="eastAsia"/>
          <w:sz w:val="32"/>
          <w:szCs w:val="32"/>
        </w:rPr>
        <w:t>(Flavor and Extract Manufacturers Association, FEMA)</w:t>
      </w:r>
      <w:r w:rsidRPr="00F66B20">
        <w:rPr>
          <w:rFonts w:ascii="Times New Roman" w:eastAsia="標楷體" w:hAnsi="Times New Roman" w:cs="Times New Roman" w:hint="eastAsia"/>
          <w:sz w:val="32"/>
          <w:szCs w:val="32"/>
        </w:rPr>
        <w:t>、歐盟、日本等國家或國際組織准用之香料清單。</w:t>
      </w:r>
    </w:p>
    <w:p w14:paraId="485155F3" w14:textId="33C1778B" w:rsidR="00B660B9" w:rsidRDefault="006C0A9D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承上，</w:t>
      </w:r>
      <w:r w:rsidR="00F66B20">
        <w:rPr>
          <w:rFonts w:ascii="Times New Roman" w:eastAsia="標楷體" w:hAnsi="Times New Roman" w:cs="Times New Roman" w:hint="eastAsia"/>
          <w:sz w:val="32"/>
          <w:szCs w:val="32"/>
        </w:rPr>
        <w:t>此次</w:t>
      </w:r>
      <w:r w:rsidR="00AA2CE0" w:rsidRPr="00C335F8">
        <w:rPr>
          <w:rFonts w:ascii="Times New Roman" w:eastAsia="標楷體" w:hAnsi="Times New Roman" w:cs="Times New Roman"/>
          <w:sz w:val="32"/>
          <w:szCs w:val="32"/>
        </w:rPr>
        <w:t>第</w:t>
      </w:r>
      <w:r w:rsidR="00AA2CE0" w:rsidRPr="00C335F8">
        <w:rPr>
          <w:rFonts w:ascii="Times New Roman" w:eastAsia="標楷體" w:hAnsi="Times New Roman" w:cs="Times New Roman"/>
          <w:sz w:val="32"/>
          <w:szCs w:val="32"/>
        </w:rPr>
        <w:t>(</w:t>
      </w:r>
      <w:r w:rsidR="00AA2CE0" w:rsidRPr="00C335F8">
        <w:rPr>
          <w:rFonts w:ascii="Times New Roman" w:eastAsia="標楷體" w:hAnsi="Times New Roman" w:cs="Times New Roman"/>
          <w:sz w:val="32"/>
          <w:szCs w:val="32"/>
        </w:rPr>
        <w:t>十</w:t>
      </w:r>
      <w:r w:rsidR="00AA2CE0" w:rsidRPr="00C335F8">
        <w:rPr>
          <w:rFonts w:ascii="Times New Roman" w:eastAsia="標楷體" w:hAnsi="Times New Roman" w:cs="Times New Roman"/>
          <w:sz w:val="32"/>
          <w:szCs w:val="32"/>
        </w:rPr>
        <w:t>)</w:t>
      </w:r>
      <w:r w:rsidR="00AA2CE0" w:rsidRPr="00C335F8">
        <w:rPr>
          <w:rFonts w:ascii="Times New Roman" w:eastAsia="標楷體" w:hAnsi="Times New Roman" w:cs="Times New Roman"/>
          <w:sz w:val="32"/>
          <w:szCs w:val="32"/>
        </w:rPr>
        <w:t>類香料</w:t>
      </w:r>
      <w:r w:rsidR="00B660B9">
        <w:rPr>
          <w:rFonts w:ascii="Times New Roman" w:eastAsia="標楷體" w:hAnsi="Times New Roman" w:cs="Times New Roman" w:hint="eastAsia"/>
          <w:sz w:val="32"/>
          <w:szCs w:val="32"/>
        </w:rPr>
        <w:t>增</w:t>
      </w:r>
      <w:r w:rsidR="00183433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183433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B660B9">
        <w:rPr>
          <w:rFonts w:ascii="Times New Roman" w:eastAsia="標楷體" w:hAnsi="Times New Roman" w:cs="Times New Roman" w:hint="eastAsia"/>
          <w:sz w:val="32"/>
          <w:szCs w:val="32"/>
        </w:rPr>
        <w:t>大類品項，係參考</w:t>
      </w:r>
      <w:r>
        <w:rPr>
          <w:rFonts w:ascii="Times New Roman" w:eastAsia="標楷體" w:hAnsi="Times New Roman" w:cs="Times New Roman" w:hint="eastAsia"/>
          <w:sz w:val="32"/>
          <w:szCs w:val="32"/>
        </w:rPr>
        <w:t>前述</w:t>
      </w:r>
      <w:r w:rsidR="00B660B9">
        <w:rPr>
          <w:rFonts w:ascii="Times New Roman" w:eastAsia="標楷體" w:hAnsi="Times New Roman" w:cs="Times New Roman" w:hint="eastAsia"/>
          <w:sz w:val="32"/>
          <w:szCs w:val="32"/>
        </w:rPr>
        <w:t>國際規範</w:t>
      </w:r>
      <w:r w:rsidR="0096764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B660B9">
        <w:rPr>
          <w:rFonts w:ascii="Times New Roman" w:eastAsia="標楷體" w:hAnsi="Times New Roman" w:cs="Times New Roman" w:hint="eastAsia"/>
          <w:sz w:val="32"/>
          <w:szCs w:val="32"/>
        </w:rPr>
        <w:t>補足所有准用香料可能歸屬之大類</w:t>
      </w:r>
      <w:r w:rsidR="0039484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39484A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39484A">
        <w:rPr>
          <w:rFonts w:ascii="Times New Roman" w:eastAsia="標楷體" w:hAnsi="Times New Roman" w:cs="Times New Roman" w:hint="eastAsia"/>
          <w:sz w:val="32"/>
          <w:szCs w:val="32"/>
        </w:rPr>
        <w:t>修正後所有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大類品項包括：</w:t>
      </w:r>
      <w:proofErr w:type="gramStart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酯類、醚類、酮類</w:t>
      </w:r>
      <w:proofErr w:type="gramEnd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、羧酸類、醇類、</w:t>
      </w:r>
      <w:proofErr w:type="gramStart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醛類</w:t>
      </w:r>
      <w:proofErr w:type="gramEnd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、碳氫化合物類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烷類</w:t>
      </w:r>
      <w:proofErr w:type="gramEnd"/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烯類；萜烯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)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、硫醇類、硫醚類、酚類、內酯類、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(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縮醛、縮酮類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)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、胺類、硫化物、呋喃類、含氮雜環類、含硫雜環類、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(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胺基酸、醣類</w:t>
      </w:r>
      <w:r w:rsidR="0039484A" w:rsidRPr="0039484A">
        <w:rPr>
          <w:rFonts w:ascii="Times New Roman" w:eastAsia="標楷體" w:hAnsi="Times New Roman" w:cs="Times New Roman"/>
          <w:sz w:val="32"/>
          <w:szCs w:val="32"/>
        </w:rPr>
        <w:t>)</w:t>
      </w:r>
      <w:r w:rsidR="0039484A" w:rsidRPr="0039484A">
        <w:rPr>
          <w:rFonts w:ascii="Times New Roman" w:eastAsia="標楷體" w:hAnsi="Times New Roman" w:cs="Times New Roman" w:hint="eastAsia"/>
          <w:sz w:val="32"/>
          <w:szCs w:val="32"/>
        </w:rPr>
        <w:t>、天然香料等</w:t>
      </w:r>
      <w:r w:rsidR="00B660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07E6FEC4" w14:textId="65531444" w:rsidR="00F27FFD" w:rsidRPr="00F27FFD" w:rsidRDefault="00F27FFD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另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因第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類香料編號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087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芳香族醇類</w:t>
      </w:r>
      <w:proofErr w:type="gramEnd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」、編號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088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「芳香</w:t>
      </w:r>
      <w:proofErr w:type="gramStart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族醛類</w:t>
      </w:r>
      <w:proofErr w:type="gramEnd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」分別歸屬於修正之編號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081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「醇類」及編號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082</w:t>
      </w:r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醛類</w:t>
      </w:r>
      <w:proofErr w:type="gramEnd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」，為免重覆，</w:t>
      </w:r>
      <w:proofErr w:type="gramStart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Pr="00F27FFD">
        <w:rPr>
          <w:rFonts w:ascii="Times New Roman" w:eastAsia="標楷體" w:hAnsi="Times New Roman" w:cs="Times New Roman" w:hint="eastAsia"/>
          <w:sz w:val="32"/>
          <w:szCs w:val="32"/>
        </w:rPr>
        <w:t>刪除之。</w:t>
      </w:r>
    </w:p>
    <w:p w14:paraId="735B2DBB" w14:textId="192F46DF" w:rsidR="00FD0CEE" w:rsidRDefault="001D1462" w:rsidP="00316F78">
      <w:pPr>
        <w:pStyle w:val="a3"/>
        <w:numPr>
          <w:ilvl w:val="1"/>
          <w:numId w:val="2"/>
        </w:numPr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十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類香料備註</w:t>
      </w:r>
      <w:r w:rsidR="008022B5">
        <w:rPr>
          <w:rFonts w:ascii="Times New Roman" w:eastAsia="標楷體" w:hAnsi="Times New Roman" w:cs="Times New Roman" w:hint="eastAsia"/>
          <w:sz w:val="32"/>
          <w:szCs w:val="32"/>
        </w:rPr>
        <w:t>載明天然香料之定義。</w:t>
      </w:r>
    </w:p>
    <w:p w14:paraId="303AE9B8" w14:textId="7FFC5287" w:rsidR="00666983" w:rsidRDefault="00666983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法規修正後，天然香料管理有不一樣嗎？</w:t>
      </w:r>
    </w:p>
    <w:p w14:paraId="0280B03F" w14:textId="77777777" w:rsidR="00C11874" w:rsidRDefault="008B04B7" w:rsidP="000D5285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沒有。</w:t>
      </w:r>
    </w:p>
    <w:p w14:paraId="0DF700D4" w14:textId="2F90ED80" w:rsidR="00666983" w:rsidRDefault="00666983" w:rsidP="00316F78">
      <w:pPr>
        <w:pStyle w:val="a3"/>
        <w:numPr>
          <w:ilvl w:val="0"/>
          <w:numId w:val="19"/>
        </w:numPr>
        <w:spacing w:line="500" w:lineRule="exact"/>
        <w:ind w:leftChars="0" w:left="1276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修正「食品添加物使用範圍及限量暨規格標準」第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類香料備註</w:t>
      </w:r>
      <w:r w:rsidR="008B04B7">
        <w:rPr>
          <w:rFonts w:ascii="Times New Roman" w:eastAsia="標楷體" w:hAnsi="Times New Roman" w:cs="Times New Roman" w:hint="eastAsia"/>
          <w:sz w:val="32"/>
          <w:szCs w:val="32"/>
        </w:rPr>
        <w:t>新增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天然香料定義</w:t>
      </w:r>
      <w:r w:rsidR="008B04B7">
        <w:rPr>
          <w:rFonts w:ascii="Times New Roman" w:eastAsia="標楷體" w:hAnsi="Times New Roman" w:cs="Times New Roman" w:hint="eastAsia"/>
          <w:sz w:val="32"/>
          <w:szCs w:val="32"/>
        </w:rPr>
        <w:t>，係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與現行管理一致，係參考聯合國食品法典委員會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(Codex Alimentarius Commission, Codex)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，指由未經處理或經傳統食品加工製程處理之動、植物原料，以物理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包括但不限於蒸餾或溶劑萃取處理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666983">
        <w:rPr>
          <w:rFonts w:ascii="Times New Roman" w:eastAsia="標楷體" w:hAnsi="Times New Roman" w:cs="Times New Roman" w:hint="eastAsia"/>
          <w:sz w:val="32"/>
          <w:szCs w:val="32"/>
        </w:rPr>
        <w:t>、酵素或微生物方式，所取得之香料物質，包括針對特定物質純化者及未針對特定物質純化者</w:t>
      </w:r>
      <w:r w:rsidR="008B04B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55E5515" w14:textId="093FDD04" w:rsidR="00C11874" w:rsidRDefault="00C11874" w:rsidP="00316F78">
      <w:pPr>
        <w:pStyle w:val="a3"/>
        <w:numPr>
          <w:ilvl w:val="0"/>
          <w:numId w:val="19"/>
        </w:numPr>
        <w:spacing w:line="500" w:lineRule="exact"/>
        <w:ind w:leftChars="0" w:left="1276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11874">
        <w:rPr>
          <w:rFonts w:ascii="Times New Roman" w:eastAsia="標楷體" w:hAnsi="Times New Roman" w:cs="Times New Roman" w:hint="eastAsia"/>
          <w:sz w:val="32"/>
          <w:szCs w:val="32"/>
        </w:rPr>
        <w:t>前述天然香料係指產品中提供香氣之成分，未包含產品中輔助香料產品加工、貯存、溶解、稀釋、增量、均勻分布或香氣呈現功能之其他成分。</w:t>
      </w:r>
    </w:p>
    <w:p w14:paraId="2DAD66FF" w14:textId="3C81CDAA" w:rsidR="00823F87" w:rsidRDefault="00823F87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香料單體如符合備註之天然香料定義，是否屬編號</w:t>
      </w:r>
      <w:r>
        <w:rPr>
          <w:rFonts w:ascii="Times New Roman" w:eastAsia="標楷體" w:hAnsi="Times New Roman" w:cs="Times New Roman" w:hint="eastAsia"/>
          <w:sz w:val="32"/>
          <w:szCs w:val="32"/>
        </w:rPr>
        <w:t>098</w:t>
      </w:r>
      <w:r>
        <w:rPr>
          <w:rFonts w:ascii="Times New Roman" w:eastAsia="標楷體" w:hAnsi="Times New Roman" w:cs="Times New Roman" w:hint="eastAsia"/>
          <w:sz w:val="32"/>
          <w:szCs w:val="32"/>
        </w:rPr>
        <w:t>天然香料？</w:t>
      </w:r>
    </w:p>
    <w:p w14:paraId="70550EE3" w14:textId="77777777" w:rsidR="00823F87" w:rsidRPr="00FA1566" w:rsidRDefault="00823F87" w:rsidP="000D5285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是。</w:t>
      </w:r>
    </w:p>
    <w:p w14:paraId="19BEE9D8" w14:textId="14D796E8" w:rsidR="00E10F36" w:rsidRDefault="009B5230" w:rsidP="00316F78">
      <w:pPr>
        <w:pStyle w:val="a3"/>
        <w:numPr>
          <w:ilvl w:val="0"/>
          <w:numId w:val="4"/>
        </w:numPr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奎寧於法規修正前後之使用規範有何差別？</w:t>
      </w:r>
    </w:p>
    <w:p w14:paraId="74A9E4CB" w14:textId="77777777" w:rsidR="00FA1566" w:rsidRDefault="00FA1566" w:rsidP="00316F78">
      <w:pPr>
        <w:pStyle w:val="a3"/>
        <w:numPr>
          <w:ilvl w:val="0"/>
          <w:numId w:val="2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F83D7B6" w14:textId="77777777" w:rsidR="000462FD" w:rsidRDefault="000462FD" w:rsidP="00316F78">
      <w:pPr>
        <w:pStyle w:val="a3"/>
        <w:numPr>
          <w:ilvl w:val="1"/>
          <w:numId w:val="2"/>
        </w:numPr>
        <w:spacing w:line="500" w:lineRule="exact"/>
        <w:ind w:leftChars="0" w:left="993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修正前之「食品添加物使用範圍及限量暨規格標準」，合成香料單體奎寧，或自天然植物加工純化製得之奎寧皆</w:t>
      </w:r>
      <w:proofErr w:type="gramStart"/>
      <w:r w:rsidRPr="000462FD">
        <w:rPr>
          <w:rFonts w:ascii="Times New Roman" w:eastAsia="標楷體" w:hAnsi="Times New Roman" w:cs="Times New Roman" w:hint="eastAsia"/>
          <w:sz w:val="32"/>
          <w:szCs w:val="32"/>
        </w:rPr>
        <w:t>非屬准用</w:t>
      </w:r>
      <w:proofErr w:type="gramEnd"/>
      <w:r w:rsidRPr="000462FD">
        <w:rPr>
          <w:rFonts w:ascii="Times New Roman" w:eastAsia="標楷體" w:hAnsi="Times New Roman" w:cs="Times New Roman" w:hint="eastAsia"/>
          <w:sz w:val="32"/>
          <w:szCs w:val="32"/>
        </w:rPr>
        <w:t>之食用香料，不得添加於食品。</w:t>
      </w:r>
    </w:p>
    <w:p w14:paraId="5BF93E97" w14:textId="77777777" w:rsidR="00103DA3" w:rsidRDefault="000462FD" w:rsidP="00316F78">
      <w:pPr>
        <w:pStyle w:val="a3"/>
        <w:numPr>
          <w:ilvl w:val="1"/>
          <w:numId w:val="2"/>
        </w:numPr>
        <w:spacing w:line="500" w:lineRule="exact"/>
        <w:ind w:leftChars="0" w:left="993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修正後之「食品添加物使用範圍及限量暨規格標準」</w:t>
      </w:r>
      <w:r w:rsidR="00103DA3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14:paraId="4C565583" w14:textId="77777777" w:rsidR="00103DA3" w:rsidRDefault="000462FD" w:rsidP="00316F78">
      <w:pPr>
        <w:pStyle w:val="a3"/>
        <w:numPr>
          <w:ilvl w:val="2"/>
          <w:numId w:val="2"/>
        </w:numPr>
        <w:spacing w:line="500" w:lineRule="exact"/>
        <w:ind w:leftChars="0" w:left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合成香料單體奎寧，或自天然植物加工純化製得之奎寧管理方式等同其他香料單體，如屬聯合國糧農組織及世界衛生組織共同之食品添加物專家委員會</w:t>
      </w: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(JECFA)</w:t>
      </w: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、美國食品香料與萃取物製造協會</w:t>
      </w: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(FEMA)</w:t>
      </w:r>
      <w:r w:rsidRPr="000462FD">
        <w:rPr>
          <w:rFonts w:ascii="Times New Roman" w:eastAsia="標楷體" w:hAnsi="Times New Roman" w:cs="Times New Roman" w:hint="eastAsia"/>
          <w:sz w:val="32"/>
          <w:szCs w:val="32"/>
        </w:rPr>
        <w:t>、歐盟或日本等國際規範准用之香料，則為我國准用之香料。</w:t>
      </w:r>
    </w:p>
    <w:p w14:paraId="7AD24351" w14:textId="77777777" w:rsidR="00103DA3" w:rsidRDefault="000462FD" w:rsidP="00316F78">
      <w:pPr>
        <w:pStyle w:val="a3"/>
        <w:numPr>
          <w:ilvl w:val="2"/>
          <w:numId w:val="2"/>
        </w:numPr>
        <w:spacing w:line="500" w:lineRule="exact"/>
        <w:ind w:leftChars="0" w:left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03DA3">
        <w:rPr>
          <w:rFonts w:ascii="Times New Roman" w:eastAsia="標楷體" w:hAnsi="Times New Roman" w:cs="Times New Roman" w:hint="eastAsia"/>
          <w:sz w:val="32"/>
          <w:szCs w:val="32"/>
        </w:rPr>
        <w:t>且奎寧成分如符合天然香料之定義，</w:t>
      </w:r>
      <w:proofErr w:type="gramStart"/>
      <w:r w:rsidRPr="00103DA3">
        <w:rPr>
          <w:rFonts w:ascii="Times New Roman" w:eastAsia="標楷體" w:hAnsi="Times New Roman" w:cs="Times New Roman" w:hint="eastAsia"/>
          <w:sz w:val="32"/>
          <w:szCs w:val="32"/>
        </w:rPr>
        <w:t>得屬天然</w:t>
      </w:r>
      <w:proofErr w:type="gramEnd"/>
      <w:r w:rsidRPr="00103DA3">
        <w:rPr>
          <w:rFonts w:ascii="Times New Roman" w:eastAsia="標楷體" w:hAnsi="Times New Roman" w:cs="Times New Roman" w:hint="eastAsia"/>
          <w:sz w:val="32"/>
          <w:szCs w:val="32"/>
        </w:rPr>
        <w:t>香料。</w:t>
      </w:r>
    </w:p>
    <w:p w14:paraId="3D32CADC" w14:textId="0A02F5EF" w:rsidR="00FA1566" w:rsidRDefault="004D314C" w:rsidP="00316F78">
      <w:pPr>
        <w:pStyle w:val="a3"/>
        <w:numPr>
          <w:ilvl w:val="2"/>
          <w:numId w:val="2"/>
        </w:numPr>
        <w:spacing w:line="500" w:lineRule="exact"/>
        <w:ind w:leftChars="0" w:left="156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103DA3">
        <w:rPr>
          <w:rFonts w:ascii="Times New Roman" w:eastAsia="標楷體" w:hAnsi="Times New Roman" w:cs="Times New Roman" w:hint="eastAsia"/>
          <w:sz w:val="32"/>
          <w:szCs w:val="32"/>
        </w:rPr>
        <w:t>另</w:t>
      </w:r>
      <w:proofErr w:type="gramEnd"/>
      <w:r w:rsidRPr="00103DA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飲料倘添加編號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095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含</w:t>
      </w:r>
      <w:proofErr w:type="gramStart"/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氮雜環類</w:t>
      </w:r>
      <w:proofErr w:type="gramEnd"/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之奎寧，及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或添加編號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098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天然香料奎寧</w:t>
      </w:r>
      <w:r w:rsidR="000462FD" w:rsidRPr="00103DA3">
        <w:rPr>
          <w:rFonts w:ascii="Times New Roman" w:eastAsia="標楷體" w:hAnsi="Times New Roman" w:cs="Times New Roman" w:hint="eastAsia"/>
          <w:sz w:val="32"/>
          <w:szCs w:val="32"/>
        </w:rPr>
        <w:t>或天然香料</w:t>
      </w:r>
      <w:r w:rsidR="000462FD" w:rsidRPr="00103DA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462FD" w:rsidRPr="00103DA3">
        <w:rPr>
          <w:rFonts w:ascii="Times New Roman" w:eastAsia="標楷體" w:hAnsi="Times New Roman" w:cs="Times New Roman" w:hint="eastAsia"/>
          <w:sz w:val="32"/>
          <w:szCs w:val="32"/>
        </w:rPr>
        <w:t>含奎寧</w:t>
      </w:r>
      <w:r w:rsidR="000462FD" w:rsidRPr="00103DA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者，其奎寧總限量為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85 mg/kg</w:t>
      </w:r>
      <w:r w:rsidR="00060C9F" w:rsidRPr="00103DA3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FE11005" w14:textId="4AC8CD06" w:rsidR="00960A8E" w:rsidRPr="00017241" w:rsidRDefault="00960A8E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法規修正後，倘香料產品成分展開較新法規詳細，</w:t>
      </w:r>
      <w:r w:rsidR="00017241" w:rsidRPr="000172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否沿用既有標籤內容不作更動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?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舉例：</w:t>
      </w:r>
      <w:r w:rsidR="00017241">
        <w:rPr>
          <w:rFonts w:ascii="Times New Roman" w:eastAsia="標楷體" w:hAnsi="Times New Roman" w:cs="Times New Roman" w:hint="eastAsia"/>
          <w:sz w:val="32"/>
          <w:szCs w:val="32"/>
        </w:rPr>
        <w:t>保留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原始標籤成分展開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proofErr w:type="gramStart"/>
      <w:r w:rsidRPr="00017241">
        <w:rPr>
          <w:rFonts w:ascii="Times New Roman" w:eastAsia="標楷體" w:hAnsi="Times New Roman" w:cs="Times New Roman" w:hint="eastAsia"/>
          <w:sz w:val="32"/>
          <w:szCs w:val="32"/>
        </w:rPr>
        <w:t>—</w:t>
      </w:r>
      <w:proofErr w:type="gramEnd"/>
      <w:r w:rsidRPr="0001724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017241">
        <w:rPr>
          <w:rFonts w:ascii="Times New Roman" w:eastAsia="標楷體" w:hAnsi="Times New Roman" w:cs="Times New Roman" w:hint="eastAsia"/>
          <w:sz w:val="32"/>
          <w:szCs w:val="32"/>
        </w:rPr>
        <w:t>【高級脂肪族醛類】、【芳香族醛類】、【芳香族醇類】</w:t>
      </w:r>
    </w:p>
    <w:p w14:paraId="60608206" w14:textId="12748860" w:rsidR="00960A8E" w:rsidRPr="00960A8E" w:rsidRDefault="00960A8E" w:rsidP="00316F78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960A8E">
        <w:rPr>
          <w:rFonts w:ascii="Times New Roman" w:eastAsia="標楷體" w:hAnsi="Times New Roman" w:cs="Times New Roman" w:hint="eastAsia"/>
          <w:sz w:val="32"/>
          <w:szCs w:val="32"/>
        </w:rPr>
        <w:t>修正後之品名「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醛類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」係包含</w:t>
      </w:r>
      <w:r w:rsidR="00051918">
        <w:rPr>
          <w:rFonts w:ascii="Times New Roman" w:eastAsia="標楷體" w:hAnsi="Times New Roman" w:cs="Times New Roman" w:hint="eastAsia"/>
          <w:sz w:val="32"/>
          <w:szCs w:val="32"/>
        </w:rPr>
        <w:t>修正前之</w:t>
      </w:r>
      <w:r w:rsidRPr="00960A8E">
        <w:rPr>
          <w:rFonts w:ascii="Times New Roman" w:eastAsia="標楷體" w:hAnsi="Times New Roman" w:cs="Times New Roman" w:hint="eastAsia"/>
          <w:sz w:val="32"/>
          <w:szCs w:val="32"/>
        </w:rPr>
        <w:t>品名「高級脂肪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族醛類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」及「芳香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族醛類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」；修正後之品名「醇類」包含</w:t>
      </w:r>
      <w:r w:rsidR="00051918">
        <w:rPr>
          <w:rFonts w:ascii="Times New Roman" w:eastAsia="標楷體" w:hAnsi="Times New Roman" w:cs="Times New Roman" w:hint="eastAsia"/>
          <w:sz w:val="32"/>
          <w:szCs w:val="32"/>
        </w:rPr>
        <w:t>修正前之</w:t>
      </w:r>
      <w:r w:rsidR="00051918" w:rsidRPr="00960A8E">
        <w:rPr>
          <w:rFonts w:ascii="Times New Roman" w:eastAsia="標楷體" w:hAnsi="Times New Roman" w:cs="Times New Roman" w:hint="eastAsia"/>
          <w:sz w:val="32"/>
          <w:szCs w:val="32"/>
        </w:rPr>
        <w:t>品名</w:t>
      </w:r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「高級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脂肪族醇類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」及「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芳香族醇類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」，考量為透明產品資訊，</w:t>
      </w:r>
      <w:proofErr w:type="gramStart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俾</w:t>
      </w:r>
      <w:proofErr w:type="gramEnd"/>
      <w:r w:rsidRPr="00960A8E">
        <w:rPr>
          <w:rFonts w:ascii="Times New Roman" w:eastAsia="標楷體" w:hAnsi="Times New Roman" w:cs="Times New Roman" w:hint="eastAsia"/>
          <w:sz w:val="32"/>
          <w:szCs w:val="32"/>
        </w:rPr>
        <w:t>利民眾選擇適合其自身需求之產品，業者得依實際使用之香料名稱如實展開標示。</w:t>
      </w:r>
    </w:p>
    <w:p w14:paraId="71195207" w14:textId="2FC4ADEA" w:rsidR="00FE5DB4" w:rsidRPr="003F141D" w:rsidRDefault="00051918" w:rsidP="00E95CE8">
      <w:pPr>
        <w:pStyle w:val="a3"/>
        <w:numPr>
          <w:ilvl w:val="0"/>
          <w:numId w:val="4"/>
        </w:numPr>
        <w:spacing w:line="500" w:lineRule="exact"/>
        <w:ind w:leftChars="0" w:left="728" w:hanging="72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F141D">
        <w:rPr>
          <w:rFonts w:ascii="Times New Roman" w:eastAsia="標楷體" w:hAnsi="Times New Roman" w:cs="Times New Roman" w:hint="eastAsia"/>
          <w:sz w:val="32"/>
          <w:szCs w:val="32"/>
        </w:rPr>
        <w:t>修正之編號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 xml:space="preserve">080 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中英文名稱為羧酸類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 xml:space="preserve"> Carboxylic Acid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非</w:t>
      </w:r>
      <w:r w:rsidRPr="003F141D">
        <w:rPr>
          <w:rFonts w:ascii="Times New Roman" w:eastAsia="標楷體" w:hAnsi="Times New Roman" w:cs="Times New Roman" w:hint="eastAsia"/>
          <w:sz w:val="32"/>
          <w:szCs w:val="32"/>
        </w:rPr>
        <w:t>登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proofErr w:type="gramEnd"/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後台</w:t>
      </w:r>
      <w:r w:rsidRPr="003F141D">
        <w:rPr>
          <w:rFonts w:ascii="Times New Roman" w:eastAsia="標楷體" w:hAnsi="Times New Roman" w:cs="Times New Roman" w:hint="eastAsia"/>
          <w:sz w:val="32"/>
          <w:szCs w:val="32"/>
        </w:rPr>
        <w:t>是否能</w:t>
      </w:r>
      <w:r w:rsidR="00FE5DB4" w:rsidRPr="003F141D">
        <w:rPr>
          <w:rFonts w:ascii="Times New Roman" w:eastAsia="標楷體" w:hAnsi="Times New Roman" w:cs="Times New Roman" w:hint="eastAsia"/>
          <w:sz w:val="32"/>
          <w:szCs w:val="32"/>
        </w:rPr>
        <w:t>協助業者直接變更過往歷史登錄資料，毋需業者自行修改歷史資料。</w:t>
      </w:r>
    </w:p>
    <w:p w14:paraId="19D5F77F" w14:textId="52C4D7DD" w:rsidR="00204270" w:rsidRPr="003F141D" w:rsidRDefault="00EF1ED2" w:rsidP="00316F78">
      <w:pPr>
        <w:pStyle w:val="a3"/>
        <w:numPr>
          <w:ilvl w:val="0"/>
          <w:numId w:val="2"/>
        </w:numPr>
        <w:spacing w:line="500" w:lineRule="exact"/>
        <w:ind w:leftChars="0" w:left="709" w:hanging="851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本署將</w:t>
      </w:r>
      <w:r w:rsidR="00051918" w:rsidRPr="00051918">
        <w:rPr>
          <w:rFonts w:ascii="Times New Roman" w:eastAsia="標楷體" w:hAnsi="Times New Roman" w:cs="Times New Roman" w:hint="eastAsia"/>
          <w:sz w:val="32"/>
          <w:szCs w:val="32"/>
        </w:rPr>
        <w:t>於非登不可</w:t>
      </w:r>
      <w:proofErr w:type="gramEnd"/>
      <w:r w:rsidR="00051918" w:rsidRPr="00051918">
        <w:rPr>
          <w:rFonts w:ascii="Times New Roman" w:eastAsia="標楷體" w:hAnsi="Times New Roman" w:cs="Times New Roman" w:hint="eastAsia"/>
          <w:sz w:val="32"/>
          <w:szCs w:val="32"/>
        </w:rPr>
        <w:t>系統將已登錄產品之該成分一併修正。</w:t>
      </w:r>
    </w:p>
    <w:sectPr w:rsidR="00204270" w:rsidRPr="003F141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E6D4" w14:textId="77777777" w:rsidR="005B5B23" w:rsidRDefault="005B5B23" w:rsidP="00485FBF">
      <w:r>
        <w:separator/>
      </w:r>
    </w:p>
  </w:endnote>
  <w:endnote w:type="continuationSeparator" w:id="0">
    <w:p w14:paraId="05128227" w14:textId="77777777" w:rsidR="005B5B23" w:rsidRDefault="005B5B23" w:rsidP="0048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694996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7AB42AEC" w14:textId="415EB0C1" w:rsidR="00396EC3" w:rsidRPr="004A4798" w:rsidRDefault="004A4798">
        <w:pPr>
          <w:pStyle w:val="a6"/>
          <w:jc w:val="center"/>
          <w:rPr>
            <w:rFonts w:ascii="標楷體" w:eastAsia="標楷體" w:hAnsi="標楷體"/>
          </w:rPr>
        </w:pPr>
        <w:r w:rsidRPr="004A4798">
          <w:rPr>
            <w:rFonts w:ascii="標楷體" w:eastAsia="標楷體" w:hAnsi="標楷體" w:hint="eastAsia"/>
          </w:rPr>
          <w:t>第</w:t>
        </w:r>
        <w:r w:rsidR="00396EC3" w:rsidRPr="004A4798">
          <w:rPr>
            <w:rFonts w:ascii="標楷體" w:eastAsia="標楷體" w:hAnsi="標楷體"/>
          </w:rPr>
          <w:fldChar w:fldCharType="begin"/>
        </w:r>
        <w:r w:rsidR="00396EC3" w:rsidRPr="004A4798">
          <w:rPr>
            <w:rFonts w:ascii="標楷體" w:eastAsia="標楷體" w:hAnsi="標楷體"/>
          </w:rPr>
          <w:instrText>PAGE   \* MERGEFORMAT</w:instrText>
        </w:r>
        <w:r w:rsidR="00396EC3" w:rsidRPr="004A4798">
          <w:rPr>
            <w:rFonts w:ascii="標楷體" w:eastAsia="標楷體" w:hAnsi="標楷體"/>
          </w:rPr>
          <w:fldChar w:fldCharType="separate"/>
        </w:r>
        <w:r w:rsidR="00396EC3" w:rsidRPr="004A4798">
          <w:rPr>
            <w:rFonts w:ascii="標楷體" w:eastAsia="標楷體" w:hAnsi="標楷體"/>
            <w:lang w:val="zh-TW"/>
          </w:rPr>
          <w:t>2</w:t>
        </w:r>
        <w:r w:rsidR="00396EC3" w:rsidRPr="004A4798">
          <w:rPr>
            <w:rFonts w:ascii="標楷體" w:eastAsia="標楷體" w:hAnsi="標楷體"/>
          </w:rPr>
          <w:fldChar w:fldCharType="end"/>
        </w:r>
        <w:r w:rsidRPr="004A4798">
          <w:rPr>
            <w:rFonts w:ascii="標楷體" w:eastAsia="標楷體" w:hAnsi="標楷體" w:hint="eastAsia"/>
          </w:rPr>
          <w:t xml:space="preserve">頁 </w:t>
        </w:r>
        <w:r>
          <w:rPr>
            <w:rFonts w:ascii="標楷體" w:eastAsia="標楷體" w:hAnsi="標楷體" w:hint="eastAsia"/>
          </w:rPr>
          <w:t>(</w:t>
        </w:r>
        <w:r w:rsidRPr="004A4798">
          <w:rPr>
            <w:rFonts w:ascii="標楷體" w:eastAsia="標楷體" w:hAnsi="標楷體" w:hint="eastAsia"/>
          </w:rPr>
          <w:t>共</w:t>
        </w:r>
        <w:r w:rsidR="00FC53A1">
          <w:rPr>
            <w:rFonts w:ascii="標楷體" w:eastAsia="標楷體" w:hAnsi="標楷體"/>
          </w:rPr>
          <w:t>6</w:t>
        </w:r>
        <w:r w:rsidRPr="004A4798">
          <w:rPr>
            <w:rFonts w:ascii="標楷體" w:eastAsia="標楷體" w:hAnsi="標楷體" w:hint="eastAsia"/>
          </w:rPr>
          <w:t>頁</w:t>
        </w:r>
        <w:r>
          <w:rPr>
            <w:rFonts w:ascii="標楷體" w:eastAsia="標楷體" w:hAnsi="標楷體" w:hint="eastAsia"/>
          </w:rPr>
          <w:t>)</w:t>
        </w:r>
      </w:p>
    </w:sdtContent>
  </w:sdt>
  <w:p w14:paraId="6CDFA6D4" w14:textId="77777777" w:rsidR="00396EC3" w:rsidRDefault="00396E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8257" w14:textId="77777777" w:rsidR="005B5B23" w:rsidRDefault="005B5B23" w:rsidP="00485FBF">
      <w:r>
        <w:separator/>
      </w:r>
    </w:p>
  </w:footnote>
  <w:footnote w:type="continuationSeparator" w:id="0">
    <w:p w14:paraId="3AE3E837" w14:textId="77777777" w:rsidR="005B5B23" w:rsidRDefault="005B5B23" w:rsidP="0048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2D39" w14:textId="692669DC" w:rsidR="0062790C" w:rsidRPr="0062790C" w:rsidRDefault="0062790C">
    <w:pPr>
      <w:pStyle w:val="a4"/>
      <w:rPr>
        <w:rFonts w:ascii="標楷體" w:eastAsia="標楷體" w:hAnsi="標楷體"/>
      </w:rPr>
    </w:pPr>
    <w:r>
      <w:ptab w:relativeTo="margin" w:alignment="center" w:leader="none"/>
    </w:r>
    <w:r w:rsidRPr="0062790C">
      <w:rPr>
        <w:rFonts w:ascii="標楷體" w:eastAsia="標楷體" w:hAnsi="標楷體"/>
      </w:rPr>
      <w:ptab w:relativeTo="margin" w:alignment="right" w:leader="none"/>
    </w:r>
    <w:r w:rsidRPr="0062790C">
      <w:rPr>
        <w:rFonts w:ascii="標楷體" w:eastAsia="標楷體" w:hAnsi="標楷體" w:hint="eastAsia"/>
      </w:rPr>
      <w:t>食品藥物管理署11</w:t>
    </w:r>
    <w:r w:rsidR="00ED79EA">
      <w:rPr>
        <w:rFonts w:ascii="標楷體" w:eastAsia="標楷體" w:hAnsi="標楷體" w:hint="eastAsia"/>
      </w:rPr>
      <w:t>4</w:t>
    </w:r>
    <w:r w:rsidRPr="0062790C">
      <w:rPr>
        <w:rFonts w:ascii="標楷體" w:eastAsia="標楷體" w:hAnsi="標楷體" w:hint="eastAsia"/>
      </w:rPr>
      <w:t>.</w:t>
    </w:r>
    <w:r w:rsidR="00312F5C">
      <w:rPr>
        <w:rFonts w:ascii="標楷體" w:eastAsia="標楷體" w:hAnsi="標楷體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09E"/>
    <w:multiLevelType w:val="hybridMultilevel"/>
    <w:tmpl w:val="CD302426"/>
    <w:lvl w:ilvl="0" w:tplc="0D9C89DA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D1A17"/>
    <w:multiLevelType w:val="hybridMultilevel"/>
    <w:tmpl w:val="3ADEDE52"/>
    <w:lvl w:ilvl="0" w:tplc="C4CC78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35BC0"/>
    <w:multiLevelType w:val="hybridMultilevel"/>
    <w:tmpl w:val="45F2C274"/>
    <w:lvl w:ilvl="0" w:tplc="0D9C89DA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B85869"/>
    <w:multiLevelType w:val="hybridMultilevel"/>
    <w:tmpl w:val="D47AC772"/>
    <w:lvl w:ilvl="0" w:tplc="39168D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D9C89DA">
      <w:start w:val="1"/>
      <w:numFmt w:val="decimal"/>
      <w:lvlText w:val="%3."/>
      <w:lvlJc w:val="righ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664A6E"/>
    <w:multiLevelType w:val="hybridMultilevel"/>
    <w:tmpl w:val="B400F78A"/>
    <w:lvl w:ilvl="0" w:tplc="5C1C2736">
      <w:start w:val="1"/>
      <w:numFmt w:val="decimal"/>
      <w:lvlText w:val="Q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37FEF"/>
    <w:multiLevelType w:val="hybridMultilevel"/>
    <w:tmpl w:val="A3A213AC"/>
    <w:lvl w:ilvl="0" w:tplc="C4CC78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024C9"/>
    <w:multiLevelType w:val="hybridMultilevel"/>
    <w:tmpl w:val="CF6A8C9A"/>
    <w:lvl w:ilvl="0" w:tplc="86BAFDD0">
      <w:start w:val="1"/>
      <w:numFmt w:val="decimal"/>
      <w:lvlText w:val="%1."/>
      <w:lvlJc w:val="left"/>
      <w:pPr>
        <w:ind w:left="96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830763"/>
    <w:multiLevelType w:val="hybridMultilevel"/>
    <w:tmpl w:val="A0E4C5DA"/>
    <w:lvl w:ilvl="0" w:tplc="745E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F3D02"/>
    <w:multiLevelType w:val="hybridMultilevel"/>
    <w:tmpl w:val="725CB4B4"/>
    <w:lvl w:ilvl="0" w:tplc="5004FBD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CA4B3C"/>
    <w:multiLevelType w:val="hybridMultilevel"/>
    <w:tmpl w:val="B400F78A"/>
    <w:lvl w:ilvl="0" w:tplc="5C1C2736">
      <w:start w:val="1"/>
      <w:numFmt w:val="decimal"/>
      <w:lvlText w:val="Q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C3264"/>
    <w:multiLevelType w:val="hybridMultilevel"/>
    <w:tmpl w:val="DEF056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2C51D5"/>
    <w:multiLevelType w:val="hybridMultilevel"/>
    <w:tmpl w:val="78920AB0"/>
    <w:lvl w:ilvl="0" w:tplc="09E615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9A6A9C"/>
    <w:multiLevelType w:val="hybridMultilevel"/>
    <w:tmpl w:val="1FF68E4A"/>
    <w:lvl w:ilvl="0" w:tplc="5A48F426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804077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D64650"/>
    <w:multiLevelType w:val="hybridMultilevel"/>
    <w:tmpl w:val="49440C7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CCA7834"/>
    <w:multiLevelType w:val="hybridMultilevel"/>
    <w:tmpl w:val="7CEE3DAC"/>
    <w:lvl w:ilvl="0" w:tplc="0D9C89DA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2B0219"/>
    <w:multiLevelType w:val="hybridMultilevel"/>
    <w:tmpl w:val="3828D092"/>
    <w:lvl w:ilvl="0" w:tplc="0D9C89DA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05B5700"/>
    <w:multiLevelType w:val="hybridMultilevel"/>
    <w:tmpl w:val="EB00E24A"/>
    <w:lvl w:ilvl="0" w:tplc="0D9C89DA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4E7974"/>
    <w:multiLevelType w:val="hybridMultilevel"/>
    <w:tmpl w:val="6C208872"/>
    <w:lvl w:ilvl="0" w:tplc="0D9C89DA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F572515"/>
    <w:multiLevelType w:val="hybridMultilevel"/>
    <w:tmpl w:val="B46C41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C41EF"/>
    <w:multiLevelType w:val="hybridMultilevel"/>
    <w:tmpl w:val="591289F0"/>
    <w:lvl w:ilvl="0" w:tplc="DE5E7B40">
      <w:start w:val="1"/>
      <w:numFmt w:val="decimal"/>
      <w:lvlText w:val="A%1.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804077E0">
      <w:start w:val="1"/>
      <w:numFmt w:val="taiwaneseCountingThousand"/>
      <w:lvlText w:val="(%3)"/>
      <w:lvlJc w:val="left"/>
      <w:pPr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8"/>
  </w:num>
  <w:num w:numId="17">
    <w:abstractNumId w:val="12"/>
  </w:num>
  <w:num w:numId="18">
    <w:abstractNumId w:val="1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3"/>
    <w:rsid w:val="00003AAA"/>
    <w:rsid w:val="00004B0C"/>
    <w:rsid w:val="00007D4C"/>
    <w:rsid w:val="00017241"/>
    <w:rsid w:val="00032721"/>
    <w:rsid w:val="000462FD"/>
    <w:rsid w:val="00051918"/>
    <w:rsid w:val="000534C7"/>
    <w:rsid w:val="00056B17"/>
    <w:rsid w:val="00060C9F"/>
    <w:rsid w:val="00072235"/>
    <w:rsid w:val="00081174"/>
    <w:rsid w:val="000920E6"/>
    <w:rsid w:val="0009341B"/>
    <w:rsid w:val="00094902"/>
    <w:rsid w:val="000A0BF9"/>
    <w:rsid w:val="000A2DC9"/>
    <w:rsid w:val="000A550D"/>
    <w:rsid w:val="000A640D"/>
    <w:rsid w:val="000B171A"/>
    <w:rsid w:val="000C3081"/>
    <w:rsid w:val="000C7D17"/>
    <w:rsid w:val="000D1814"/>
    <w:rsid w:val="000D5285"/>
    <w:rsid w:val="000E4440"/>
    <w:rsid w:val="000F3581"/>
    <w:rsid w:val="00103DA3"/>
    <w:rsid w:val="001076A5"/>
    <w:rsid w:val="0011275B"/>
    <w:rsid w:val="00115C29"/>
    <w:rsid w:val="00115DA0"/>
    <w:rsid w:val="00116415"/>
    <w:rsid w:val="00121371"/>
    <w:rsid w:val="00123E7D"/>
    <w:rsid w:val="00124871"/>
    <w:rsid w:val="0013165F"/>
    <w:rsid w:val="001339BB"/>
    <w:rsid w:val="001413A3"/>
    <w:rsid w:val="00143E9D"/>
    <w:rsid w:val="00145911"/>
    <w:rsid w:val="00146F36"/>
    <w:rsid w:val="00154762"/>
    <w:rsid w:val="00155C11"/>
    <w:rsid w:val="00183433"/>
    <w:rsid w:val="00192D3D"/>
    <w:rsid w:val="001A215B"/>
    <w:rsid w:val="001A227F"/>
    <w:rsid w:val="001A26A1"/>
    <w:rsid w:val="001A4279"/>
    <w:rsid w:val="001B4E28"/>
    <w:rsid w:val="001B6FEE"/>
    <w:rsid w:val="001D1462"/>
    <w:rsid w:val="001E0651"/>
    <w:rsid w:val="001E4F9A"/>
    <w:rsid w:val="0020014F"/>
    <w:rsid w:val="00204270"/>
    <w:rsid w:val="0020691B"/>
    <w:rsid w:val="0021016B"/>
    <w:rsid w:val="00212AF6"/>
    <w:rsid w:val="00214901"/>
    <w:rsid w:val="0022698C"/>
    <w:rsid w:val="002308EA"/>
    <w:rsid w:val="00232F72"/>
    <w:rsid w:val="0023309B"/>
    <w:rsid w:val="00233B95"/>
    <w:rsid w:val="00236CA7"/>
    <w:rsid w:val="0025130B"/>
    <w:rsid w:val="002513D5"/>
    <w:rsid w:val="00251625"/>
    <w:rsid w:val="002577CC"/>
    <w:rsid w:val="00273686"/>
    <w:rsid w:val="00287FDB"/>
    <w:rsid w:val="00295337"/>
    <w:rsid w:val="002A285E"/>
    <w:rsid w:val="002A2B13"/>
    <w:rsid w:val="002A6C3B"/>
    <w:rsid w:val="002B048D"/>
    <w:rsid w:val="002B0F9D"/>
    <w:rsid w:val="002B13F8"/>
    <w:rsid w:val="002B39A9"/>
    <w:rsid w:val="002B4160"/>
    <w:rsid w:val="002B532B"/>
    <w:rsid w:val="002B542A"/>
    <w:rsid w:val="002C2D71"/>
    <w:rsid w:val="002E26A9"/>
    <w:rsid w:val="00303943"/>
    <w:rsid w:val="00310253"/>
    <w:rsid w:val="00310850"/>
    <w:rsid w:val="00312F5C"/>
    <w:rsid w:val="00316F78"/>
    <w:rsid w:val="003252DB"/>
    <w:rsid w:val="00346941"/>
    <w:rsid w:val="00352AEA"/>
    <w:rsid w:val="00370D38"/>
    <w:rsid w:val="0039484A"/>
    <w:rsid w:val="00396EC3"/>
    <w:rsid w:val="003A3A2C"/>
    <w:rsid w:val="003A56EF"/>
    <w:rsid w:val="003A78DB"/>
    <w:rsid w:val="003B1B12"/>
    <w:rsid w:val="003B2A13"/>
    <w:rsid w:val="003D19BE"/>
    <w:rsid w:val="003D39E0"/>
    <w:rsid w:val="003E41F0"/>
    <w:rsid w:val="003E4349"/>
    <w:rsid w:val="003F141D"/>
    <w:rsid w:val="003F4359"/>
    <w:rsid w:val="00407D10"/>
    <w:rsid w:val="00415721"/>
    <w:rsid w:val="00416271"/>
    <w:rsid w:val="004170F0"/>
    <w:rsid w:val="0042437F"/>
    <w:rsid w:val="00427411"/>
    <w:rsid w:val="00430FF5"/>
    <w:rsid w:val="00433D9F"/>
    <w:rsid w:val="0044335B"/>
    <w:rsid w:val="00444C17"/>
    <w:rsid w:val="00450F78"/>
    <w:rsid w:val="00455271"/>
    <w:rsid w:val="00472B59"/>
    <w:rsid w:val="00473AE9"/>
    <w:rsid w:val="0048308A"/>
    <w:rsid w:val="00484E2B"/>
    <w:rsid w:val="00485FBF"/>
    <w:rsid w:val="00486586"/>
    <w:rsid w:val="004944DC"/>
    <w:rsid w:val="004A3E8A"/>
    <w:rsid w:val="004A4798"/>
    <w:rsid w:val="004B4C12"/>
    <w:rsid w:val="004B65D3"/>
    <w:rsid w:val="004C1F1D"/>
    <w:rsid w:val="004D0668"/>
    <w:rsid w:val="004D07DC"/>
    <w:rsid w:val="004D1FB9"/>
    <w:rsid w:val="004D314C"/>
    <w:rsid w:val="004D5FD7"/>
    <w:rsid w:val="004D69B1"/>
    <w:rsid w:val="004E0962"/>
    <w:rsid w:val="004E10A0"/>
    <w:rsid w:val="004F0EA9"/>
    <w:rsid w:val="004F1CD5"/>
    <w:rsid w:val="00512F10"/>
    <w:rsid w:val="00514C9F"/>
    <w:rsid w:val="00523DF2"/>
    <w:rsid w:val="00534DBE"/>
    <w:rsid w:val="00537181"/>
    <w:rsid w:val="00583373"/>
    <w:rsid w:val="00592887"/>
    <w:rsid w:val="00594154"/>
    <w:rsid w:val="00596244"/>
    <w:rsid w:val="005A0F70"/>
    <w:rsid w:val="005B01FB"/>
    <w:rsid w:val="005B5B23"/>
    <w:rsid w:val="005C0819"/>
    <w:rsid w:val="005C6857"/>
    <w:rsid w:val="005C73B5"/>
    <w:rsid w:val="005D2A46"/>
    <w:rsid w:val="005D30EC"/>
    <w:rsid w:val="005D59B4"/>
    <w:rsid w:val="005E2653"/>
    <w:rsid w:val="005E6209"/>
    <w:rsid w:val="005E7374"/>
    <w:rsid w:val="005F419D"/>
    <w:rsid w:val="005F4223"/>
    <w:rsid w:val="0060225F"/>
    <w:rsid w:val="0060246B"/>
    <w:rsid w:val="00611285"/>
    <w:rsid w:val="00611DA7"/>
    <w:rsid w:val="00624D3C"/>
    <w:rsid w:val="0062790C"/>
    <w:rsid w:val="00640C1C"/>
    <w:rsid w:val="00650750"/>
    <w:rsid w:val="0065397F"/>
    <w:rsid w:val="00666983"/>
    <w:rsid w:val="00670545"/>
    <w:rsid w:val="00676965"/>
    <w:rsid w:val="006838A3"/>
    <w:rsid w:val="00690C56"/>
    <w:rsid w:val="00694377"/>
    <w:rsid w:val="0069471B"/>
    <w:rsid w:val="00694C18"/>
    <w:rsid w:val="006A547D"/>
    <w:rsid w:val="006B329F"/>
    <w:rsid w:val="006B3D4A"/>
    <w:rsid w:val="006B764D"/>
    <w:rsid w:val="006C0A9D"/>
    <w:rsid w:val="006C0BEF"/>
    <w:rsid w:val="006C131A"/>
    <w:rsid w:val="006C2057"/>
    <w:rsid w:val="006C51B4"/>
    <w:rsid w:val="006E6C22"/>
    <w:rsid w:val="00720983"/>
    <w:rsid w:val="00721CD0"/>
    <w:rsid w:val="007221E1"/>
    <w:rsid w:val="007226A0"/>
    <w:rsid w:val="007302D7"/>
    <w:rsid w:val="0073340A"/>
    <w:rsid w:val="007451DC"/>
    <w:rsid w:val="00747713"/>
    <w:rsid w:val="0075065C"/>
    <w:rsid w:val="007541B8"/>
    <w:rsid w:val="00756F36"/>
    <w:rsid w:val="00763F23"/>
    <w:rsid w:val="0078381C"/>
    <w:rsid w:val="0079338B"/>
    <w:rsid w:val="00795E22"/>
    <w:rsid w:val="007A2CC5"/>
    <w:rsid w:val="007A4A4C"/>
    <w:rsid w:val="007A7A5E"/>
    <w:rsid w:val="007B262E"/>
    <w:rsid w:val="007C7FE8"/>
    <w:rsid w:val="007D6A94"/>
    <w:rsid w:val="007E558E"/>
    <w:rsid w:val="007F13BD"/>
    <w:rsid w:val="007F4350"/>
    <w:rsid w:val="007F46F8"/>
    <w:rsid w:val="00800830"/>
    <w:rsid w:val="008022B5"/>
    <w:rsid w:val="00814416"/>
    <w:rsid w:val="00817092"/>
    <w:rsid w:val="008215B9"/>
    <w:rsid w:val="00823F87"/>
    <w:rsid w:val="008259B3"/>
    <w:rsid w:val="00833A3B"/>
    <w:rsid w:val="00834433"/>
    <w:rsid w:val="00844549"/>
    <w:rsid w:val="00846697"/>
    <w:rsid w:val="008579CA"/>
    <w:rsid w:val="00871B26"/>
    <w:rsid w:val="0087216E"/>
    <w:rsid w:val="00874A52"/>
    <w:rsid w:val="0087506F"/>
    <w:rsid w:val="008752DE"/>
    <w:rsid w:val="0088733E"/>
    <w:rsid w:val="0088737E"/>
    <w:rsid w:val="0089364E"/>
    <w:rsid w:val="008B04B7"/>
    <w:rsid w:val="008B3331"/>
    <w:rsid w:val="008B65B5"/>
    <w:rsid w:val="008B69A5"/>
    <w:rsid w:val="008C59DE"/>
    <w:rsid w:val="008C73AD"/>
    <w:rsid w:val="008D3F93"/>
    <w:rsid w:val="008D75D8"/>
    <w:rsid w:val="008E1375"/>
    <w:rsid w:val="008E45B6"/>
    <w:rsid w:val="008E7651"/>
    <w:rsid w:val="008F3838"/>
    <w:rsid w:val="00903356"/>
    <w:rsid w:val="00912981"/>
    <w:rsid w:val="00921558"/>
    <w:rsid w:val="0092746D"/>
    <w:rsid w:val="00930CB0"/>
    <w:rsid w:val="00960A8E"/>
    <w:rsid w:val="00966CFF"/>
    <w:rsid w:val="00967641"/>
    <w:rsid w:val="0097551D"/>
    <w:rsid w:val="0099228B"/>
    <w:rsid w:val="009943B1"/>
    <w:rsid w:val="009B00FD"/>
    <w:rsid w:val="009B5075"/>
    <w:rsid w:val="009B5230"/>
    <w:rsid w:val="009C605B"/>
    <w:rsid w:val="009D03DC"/>
    <w:rsid w:val="009D38A1"/>
    <w:rsid w:val="009E7075"/>
    <w:rsid w:val="009F25E3"/>
    <w:rsid w:val="00A022C0"/>
    <w:rsid w:val="00A07816"/>
    <w:rsid w:val="00A24568"/>
    <w:rsid w:val="00A25A32"/>
    <w:rsid w:val="00A36D21"/>
    <w:rsid w:val="00A522AD"/>
    <w:rsid w:val="00A56AC4"/>
    <w:rsid w:val="00A624B1"/>
    <w:rsid w:val="00A73A88"/>
    <w:rsid w:val="00A804DD"/>
    <w:rsid w:val="00A825E7"/>
    <w:rsid w:val="00AA2CE0"/>
    <w:rsid w:val="00AA78F2"/>
    <w:rsid w:val="00AB3427"/>
    <w:rsid w:val="00AB72C5"/>
    <w:rsid w:val="00AC3E84"/>
    <w:rsid w:val="00AD0C5B"/>
    <w:rsid w:val="00AD6A49"/>
    <w:rsid w:val="00AD7274"/>
    <w:rsid w:val="00AD778A"/>
    <w:rsid w:val="00AE1DBF"/>
    <w:rsid w:val="00AE715C"/>
    <w:rsid w:val="00AF0CD0"/>
    <w:rsid w:val="00B01B9C"/>
    <w:rsid w:val="00B20ADE"/>
    <w:rsid w:val="00B5434A"/>
    <w:rsid w:val="00B600D4"/>
    <w:rsid w:val="00B660B9"/>
    <w:rsid w:val="00B87EA5"/>
    <w:rsid w:val="00B915DB"/>
    <w:rsid w:val="00BA0D02"/>
    <w:rsid w:val="00BA1B1E"/>
    <w:rsid w:val="00BA502F"/>
    <w:rsid w:val="00BA73CD"/>
    <w:rsid w:val="00BC19B6"/>
    <w:rsid w:val="00BC2905"/>
    <w:rsid w:val="00BC6BEB"/>
    <w:rsid w:val="00BD0083"/>
    <w:rsid w:val="00BE09B0"/>
    <w:rsid w:val="00BE3AF2"/>
    <w:rsid w:val="00BE659F"/>
    <w:rsid w:val="00BE6B23"/>
    <w:rsid w:val="00BF0DE8"/>
    <w:rsid w:val="00BF2172"/>
    <w:rsid w:val="00C019C7"/>
    <w:rsid w:val="00C10E21"/>
    <w:rsid w:val="00C11874"/>
    <w:rsid w:val="00C1194C"/>
    <w:rsid w:val="00C11FD9"/>
    <w:rsid w:val="00C148A3"/>
    <w:rsid w:val="00C16F82"/>
    <w:rsid w:val="00C335F8"/>
    <w:rsid w:val="00C36182"/>
    <w:rsid w:val="00C45481"/>
    <w:rsid w:val="00C47F35"/>
    <w:rsid w:val="00C5021B"/>
    <w:rsid w:val="00C540CC"/>
    <w:rsid w:val="00C67F60"/>
    <w:rsid w:val="00C72FAB"/>
    <w:rsid w:val="00C845B9"/>
    <w:rsid w:val="00C95B19"/>
    <w:rsid w:val="00CB2A1F"/>
    <w:rsid w:val="00CB530A"/>
    <w:rsid w:val="00CC15AA"/>
    <w:rsid w:val="00CD5205"/>
    <w:rsid w:val="00CD6DD3"/>
    <w:rsid w:val="00CF094F"/>
    <w:rsid w:val="00D0517D"/>
    <w:rsid w:val="00D13767"/>
    <w:rsid w:val="00D16C64"/>
    <w:rsid w:val="00D20533"/>
    <w:rsid w:val="00D20F92"/>
    <w:rsid w:val="00D21470"/>
    <w:rsid w:val="00D31658"/>
    <w:rsid w:val="00D37EBF"/>
    <w:rsid w:val="00D44B80"/>
    <w:rsid w:val="00D537CA"/>
    <w:rsid w:val="00D559F8"/>
    <w:rsid w:val="00D7222C"/>
    <w:rsid w:val="00D73DA6"/>
    <w:rsid w:val="00D97DA5"/>
    <w:rsid w:val="00DA5E6E"/>
    <w:rsid w:val="00DA6BF0"/>
    <w:rsid w:val="00DA7CDD"/>
    <w:rsid w:val="00DD1E67"/>
    <w:rsid w:val="00DD283A"/>
    <w:rsid w:val="00DD3192"/>
    <w:rsid w:val="00DD36F1"/>
    <w:rsid w:val="00DF1B7E"/>
    <w:rsid w:val="00DF29C0"/>
    <w:rsid w:val="00DF4115"/>
    <w:rsid w:val="00DF5BD2"/>
    <w:rsid w:val="00E10F36"/>
    <w:rsid w:val="00E128A3"/>
    <w:rsid w:val="00E171FD"/>
    <w:rsid w:val="00E2284C"/>
    <w:rsid w:val="00E2289D"/>
    <w:rsid w:val="00E30480"/>
    <w:rsid w:val="00E33BE9"/>
    <w:rsid w:val="00E350F3"/>
    <w:rsid w:val="00E36486"/>
    <w:rsid w:val="00E42BB3"/>
    <w:rsid w:val="00E47AAB"/>
    <w:rsid w:val="00E61B54"/>
    <w:rsid w:val="00E65C75"/>
    <w:rsid w:val="00E8019A"/>
    <w:rsid w:val="00E910A9"/>
    <w:rsid w:val="00E910B2"/>
    <w:rsid w:val="00E95CE8"/>
    <w:rsid w:val="00E963D6"/>
    <w:rsid w:val="00EA1F96"/>
    <w:rsid w:val="00EA3883"/>
    <w:rsid w:val="00EB049B"/>
    <w:rsid w:val="00EB352E"/>
    <w:rsid w:val="00EB6D37"/>
    <w:rsid w:val="00EB72AD"/>
    <w:rsid w:val="00EB76C1"/>
    <w:rsid w:val="00EC6215"/>
    <w:rsid w:val="00ED79EA"/>
    <w:rsid w:val="00EE0247"/>
    <w:rsid w:val="00EF1101"/>
    <w:rsid w:val="00EF1ED2"/>
    <w:rsid w:val="00EF4685"/>
    <w:rsid w:val="00EF6D9E"/>
    <w:rsid w:val="00F03BF5"/>
    <w:rsid w:val="00F2176A"/>
    <w:rsid w:val="00F25A3A"/>
    <w:rsid w:val="00F27322"/>
    <w:rsid w:val="00F27FFD"/>
    <w:rsid w:val="00F31EB6"/>
    <w:rsid w:val="00F3412B"/>
    <w:rsid w:val="00F35640"/>
    <w:rsid w:val="00F36466"/>
    <w:rsid w:val="00F37CB2"/>
    <w:rsid w:val="00F4087F"/>
    <w:rsid w:val="00F435CA"/>
    <w:rsid w:val="00F509ED"/>
    <w:rsid w:val="00F5742F"/>
    <w:rsid w:val="00F623F7"/>
    <w:rsid w:val="00F66B20"/>
    <w:rsid w:val="00F84D04"/>
    <w:rsid w:val="00F870AF"/>
    <w:rsid w:val="00F90E26"/>
    <w:rsid w:val="00F95654"/>
    <w:rsid w:val="00F9667B"/>
    <w:rsid w:val="00F9684E"/>
    <w:rsid w:val="00F97596"/>
    <w:rsid w:val="00FA1566"/>
    <w:rsid w:val="00FB0D54"/>
    <w:rsid w:val="00FB6D8A"/>
    <w:rsid w:val="00FC53A1"/>
    <w:rsid w:val="00FD0CE6"/>
    <w:rsid w:val="00FD0CEE"/>
    <w:rsid w:val="00FE052A"/>
    <w:rsid w:val="00FE088F"/>
    <w:rsid w:val="00FE0B52"/>
    <w:rsid w:val="00FE5032"/>
    <w:rsid w:val="00FE5DB4"/>
    <w:rsid w:val="00FF105F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91AD"/>
  <w15:chartTrackingRefBased/>
  <w15:docId w15:val="{9F9F155D-071D-490B-B6F7-9F9EF98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F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47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3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B09F-6B17-4926-A212-BF61487F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高毓言</dc:creator>
  <cp:keywords/>
  <dc:description/>
  <cp:lastModifiedBy>高毓言</cp:lastModifiedBy>
  <cp:revision>7</cp:revision>
  <cp:lastPrinted>2025-03-11T10:02:00Z</cp:lastPrinted>
  <dcterms:created xsi:type="dcterms:W3CDTF">2025-03-11T09:28:00Z</dcterms:created>
  <dcterms:modified xsi:type="dcterms:W3CDTF">2025-05-02T06:31:00Z</dcterms:modified>
</cp:coreProperties>
</file>